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A1B0E" w14:textId="77777777" w:rsidR="00CA49B0" w:rsidRDefault="008F1359" w:rsidP="00CA49B0">
      <w:pPr>
        <w:autoSpaceDE w:val="0"/>
        <w:autoSpaceDN w:val="0"/>
        <w:jc w:val="center"/>
        <w:rPr>
          <w:rFonts w:ascii="Arial" w:hAnsi="Arial" w:cs="Arial"/>
          <w:b/>
          <w:i/>
          <w:sz w:val="24"/>
          <w:szCs w:val="24"/>
        </w:rPr>
      </w:pPr>
      <w:r w:rsidRPr="00C56B69">
        <w:rPr>
          <w:rFonts w:ascii="Arial" w:hAnsi="Arial" w:cs="Arial"/>
          <w:b/>
          <w:i/>
          <w:noProof/>
          <w:sz w:val="24"/>
          <w:szCs w:val="24"/>
        </w:rPr>
        <w:drawing>
          <wp:anchor distT="0" distB="0" distL="114300" distR="114300" simplePos="0" relativeHeight="251658240" behindDoc="1" locked="0" layoutInCell="1" allowOverlap="1" wp14:anchorId="2F83568D" wp14:editId="5C9C2594">
            <wp:simplePos x="0" y="0"/>
            <wp:positionH relativeFrom="column">
              <wp:posOffset>-38100</wp:posOffset>
            </wp:positionH>
            <wp:positionV relativeFrom="paragraph">
              <wp:posOffset>9525</wp:posOffset>
            </wp:positionV>
            <wp:extent cx="2755900" cy="533400"/>
            <wp:effectExtent l="0" t="0" r="6350" b="0"/>
            <wp:wrapTight wrapText="bothSides">
              <wp:wrapPolygon edited="0">
                <wp:start x="747" y="0"/>
                <wp:lineTo x="0" y="6171"/>
                <wp:lineTo x="0" y="10029"/>
                <wp:lineTo x="1493" y="20829"/>
                <wp:lineTo x="1642" y="20829"/>
                <wp:lineTo x="21500" y="20829"/>
                <wp:lineTo x="21500" y="0"/>
                <wp:lineTo x="747" y="0"/>
              </wp:wrapPolygon>
            </wp:wrapTight>
            <wp:docPr id="8" name="Picture 7" descr="wba-logo-pop-dot-2015"/>
            <wp:cNvGraphicFramePr/>
            <a:graphic xmlns:a="http://schemas.openxmlformats.org/drawingml/2006/main">
              <a:graphicData uri="http://schemas.openxmlformats.org/drawingml/2006/picture">
                <pic:pic xmlns:pic="http://schemas.openxmlformats.org/drawingml/2006/picture">
                  <pic:nvPicPr>
                    <pic:cNvPr id="0" name="Picture 1" descr="wba-logo-pop-dot-20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5900" cy="533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24CD627" w14:textId="7872DD9F" w:rsidR="00CA49B0" w:rsidRPr="00A63AC3" w:rsidRDefault="008F1359" w:rsidP="008F1359">
      <w:pPr>
        <w:pStyle w:val="NoSpacing"/>
        <w:jc w:val="right"/>
        <w:rPr>
          <w:b/>
          <w:sz w:val="28"/>
          <w:szCs w:val="28"/>
        </w:rPr>
      </w:pPr>
      <w:r>
        <w:rPr>
          <w:b/>
        </w:rPr>
        <w:t xml:space="preserve"> </w:t>
      </w:r>
      <w:r w:rsidR="00D9324E" w:rsidRPr="00A63AC3">
        <w:rPr>
          <w:b/>
          <w:sz w:val="28"/>
          <w:szCs w:val="28"/>
        </w:rPr>
        <w:t xml:space="preserve">Advocacy Digest | </w:t>
      </w:r>
      <w:r w:rsidR="00A20A08">
        <w:rPr>
          <w:b/>
          <w:sz w:val="28"/>
          <w:szCs w:val="28"/>
        </w:rPr>
        <w:t>May 21</w:t>
      </w:r>
      <w:r w:rsidR="003D14C4">
        <w:rPr>
          <w:b/>
          <w:sz w:val="28"/>
          <w:szCs w:val="28"/>
        </w:rPr>
        <w:t>, 2021</w:t>
      </w:r>
    </w:p>
    <w:p w14:paraId="08C08FDB" w14:textId="4787314A" w:rsidR="00D265AD" w:rsidRDefault="00BD04C3" w:rsidP="00BD04C3">
      <w:pPr>
        <w:pStyle w:val="NormalWeb"/>
        <w:shd w:val="clear" w:color="auto" w:fill="FFFFFF"/>
        <w:spacing w:before="0" w:beforeAutospacing="0" w:after="0" w:afterAutospacing="0"/>
        <w:ind w:left="2160" w:firstLine="720"/>
        <w:jc w:val="center"/>
        <w:rPr>
          <w:rStyle w:val="Strong"/>
          <w:rFonts w:ascii="Liberation Sans" w:hAnsi="Liberation Sans" w:cs="Arial"/>
        </w:rPr>
      </w:pPr>
      <w:r>
        <w:rPr>
          <w:rStyle w:val="Strong"/>
          <w:rFonts w:ascii="Liberation Sans" w:hAnsi="Liberation Sans" w:cs="Arial"/>
        </w:rPr>
        <w:t xml:space="preserve">    </w:t>
      </w:r>
      <w:r w:rsidR="008F1359" w:rsidRPr="00A63AC3">
        <w:rPr>
          <w:rStyle w:val="Strong"/>
          <w:rFonts w:ascii="Liberation Sans" w:hAnsi="Liberation Sans" w:cs="Arial"/>
        </w:rPr>
        <w:t>Brad Boycks, Executive Director</w:t>
      </w:r>
    </w:p>
    <w:p w14:paraId="27AB5A2A" w14:textId="0E7FF003" w:rsidR="00CF4E65" w:rsidRDefault="00CF4E65" w:rsidP="00750DF8">
      <w:pPr>
        <w:pStyle w:val="NoSpacing"/>
        <w:rPr>
          <w:rFonts w:eastAsia="Times New Roman" w:cs="Helvetica"/>
          <w:b/>
          <w:bCs/>
          <w:color w:val="FF0000"/>
          <w:szCs w:val="24"/>
          <w:u w:val="single"/>
        </w:rPr>
      </w:pPr>
    </w:p>
    <w:p w14:paraId="5D275E22" w14:textId="4A531D49" w:rsidR="00346056" w:rsidRDefault="00346056" w:rsidP="00750DF8">
      <w:pPr>
        <w:pStyle w:val="NoSpacing"/>
        <w:rPr>
          <w:rFonts w:eastAsia="Times New Roman" w:cs="Helvetica"/>
          <w:b/>
          <w:bCs/>
          <w:color w:val="FF0000"/>
          <w:szCs w:val="24"/>
          <w:u w:val="single"/>
        </w:rPr>
      </w:pPr>
    </w:p>
    <w:p w14:paraId="472FD986" w14:textId="6D48085C" w:rsidR="006501F0" w:rsidRPr="006501F0" w:rsidRDefault="006501F0" w:rsidP="006501F0">
      <w:pPr>
        <w:pStyle w:val="NoSpacing"/>
        <w:rPr>
          <w:rFonts w:eastAsia="Times New Roman" w:cs="Helvetica"/>
          <w:b/>
          <w:bCs/>
          <w:szCs w:val="24"/>
        </w:rPr>
      </w:pPr>
      <w:r w:rsidRPr="006501F0">
        <w:rPr>
          <w:rFonts w:eastAsia="Times New Roman" w:cs="Helvetica"/>
          <w:b/>
          <w:bCs/>
          <w:szCs w:val="24"/>
        </w:rPr>
        <w:t xml:space="preserve">Uniform Dwelling Code Council (UDC Council) </w:t>
      </w:r>
    </w:p>
    <w:p w14:paraId="11B8B3DD" w14:textId="03AA1E79" w:rsidR="006501F0" w:rsidRPr="006501F0" w:rsidRDefault="006501F0" w:rsidP="006501F0">
      <w:pPr>
        <w:pStyle w:val="NoSpacing"/>
        <w:rPr>
          <w:rFonts w:eastAsia="Times New Roman" w:cs="Helvetica"/>
          <w:szCs w:val="24"/>
        </w:rPr>
      </w:pPr>
      <w:r>
        <w:rPr>
          <w:rFonts w:eastAsia="Times New Roman" w:cs="Helvetica"/>
          <w:szCs w:val="24"/>
        </w:rPr>
        <w:t xml:space="preserve">Recently </w:t>
      </w:r>
      <w:r w:rsidRPr="006501F0">
        <w:rPr>
          <w:rFonts w:eastAsia="Times New Roman" w:cs="Helvetica"/>
          <w:szCs w:val="24"/>
        </w:rPr>
        <w:t>the UDC Council met for the first time since December of 2019 to elect new leadership and discuss a possible move from the UDC to the IRC as the base code of one- and two-family home construction in Wisconsin.</w:t>
      </w:r>
    </w:p>
    <w:p w14:paraId="75D8D204" w14:textId="77777777" w:rsidR="006501F0" w:rsidRPr="006501F0" w:rsidRDefault="006501F0" w:rsidP="006501F0">
      <w:pPr>
        <w:pStyle w:val="NoSpacing"/>
        <w:rPr>
          <w:rFonts w:eastAsia="Times New Roman" w:cs="Helvetica"/>
          <w:szCs w:val="24"/>
        </w:rPr>
      </w:pPr>
    </w:p>
    <w:p w14:paraId="19FDCE27" w14:textId="40C6F1F6" w:rsidR="006501F0" w:rsidRPr="006501F0" w:rsidRDefault="006501F0" w:rsidP="006501F0">
      <w:pPr>
        <w:pStyle w:val="NoSpacing"/>
        <w:rPr>
          <w:rFonts w:eastAsia="Times New Roman" w:cs="Helvetica"/>
          <w:szCs w:val="24"/>
        </w:rPr>
      </w:pPr>
      <w:r w:rsidRPr="006501F0">
        <w:rPr>
          <w:rFonts w:eastAsia="Times New Roman" w:cs="Helvetica"/>
          <w:szCs w:val="24"/>
        </w:rPr>
        <w:t xml:space="preserve">We still have </w:t>
      </w:r>
      <w:r w:rsidR="00997962">
        <w:rPr>
          <w:rFonts w:eastAsia="Times New Roman" w:cs="Helvetica"/>
          <w:szCs w:val="24"/>
        </w:rPr>
        <w:t>three</w:t>
      </w:r>
      <w:r w:rsidRPr="006501F0">
        <w:rPr>
          <w:rFonts w:eastAsia="Times New Roman" w:cs="Helvetica"/>
          <w:szCs w:val="24"/>
        </w:rPr>
        <w:t xml:space="preserve"> WBA members serving on the UDC Council</w:t>
      </w:r>
      <w:r w:rsidR="00997962">
        <w:rPr>
          <w:rFonts w:eastAsia="Times New Roman" w:cs="Helvetica"/>
          <w:szCs w:val="24"/>
        </w:rPr>
        <w:t xml:space="preserve">; </w:t>
      </w:r>
      <w:r w:rsidRPr="006501F0">
        <w:rPr>
          <w:rFonts w:eastAsia="Times New Roman" w:cs="Helvetica"/>
          <w:szCs w:val="24"/>
        </w:rPr>
        <w:t>Abe Degnan, Mark Etrheim, and Dawn McIntosh</w:t>
      </w:r>
      <w:r w:rsidR="00997962">
        <w:rPr>
          <w:rFonts w:eastAsia="Times New Roman" w:cs="Helvetica"/>
          <w:szCs w:val="24"/>
        </w:rPr>
        <w:t>,</w:t>
      </w:r>
      <w:r w:rsidRPr="006501F0">
        <w:rPr>
          <w:rFonts w:eastAsia="Times New Roman" w:cs="Helvetica"/>
          <w:szCs w:val="24"/>
        </w:rPr>
        <w:t xml:space="preserve"> and one former member</w:t>
      </w:r>
      <w:r w:rsidR="00997962">
        <w:rPr>
          <w:rFonts w:eastAsia="Times New Roman" w:cs="Helvetica"/>
          <w:szCs w:val="24"/>
        </w:rPr>
        <w:t xml:space="preserve">, </w:t>
      </w:r>
      <w:r w:rsidRPr="006501F0">
        <w:rPr>
          <w:rFonts w:eastAsia="Times New Roman" w:cs="Helvetica"/>
          <w:szCs w:val="24"/>
        </w:rPr>
        <w:t>Dan Wald</w:t>
      </w:r>
      <w:r w:rsidR="00997962">
        <w:rPr>
          <w:rFonts w:eastAsia="Times New Roman" w:cs="Helvetica"/>
          <w:szCs w:val="24"/>
        </w:rPr>
        <w:t>,</w:t>
      </w:r>
      <w:r w:rsidRPr="006501F0">
        <w:rPr>
          <w:rFonts w:eastAsia="Times New Roman" w:cs="Helvetica"/>
          <w:szCs w:val="24"/>
        </w:rPr>
        <w:t xml:space="preserve"> out of the </w:t>
      </w:r>
      <w:r w:rsidR="00997962">
        <w:rPr>
          <w:rFonts w:eastAsia="Times New Roman" w:cs="Helvetica"/>
          <w:szCs w:val="24"/>
        </w:rPr>
        <w:t>nine</w:t>
      </w:r>
      <w:r w:rsidRPr="006501F0">
        <w:rPr>
          <w:rFonts w:eastAsia="Times New Roman" w:cs="Helvetica"/>
          <w:szCs w:val="24"/>
        </w:rPr>
        <w:t xml:space="preserve"> </w:t>
      </w:r>
      <w:r w:rsidR="00997962">
        <w:rPr>
          <w:rFonts w:eastAsia="Times New Roman" w:cs="Helvetica"/>
          <w:szCs w:val="24"/>
        </w:rPr>
        <w:t>total</w:t>
      </w:r>
      <w:r w:rsidRPr="006501F0">
        <w:rPr>
          <w:rFonts w:eastAsia="Times New Roman" w:cs="Helvetica"/>
          <w:szCs w:val="24"/>
        </w:rPr>
        <w:t xml:space="preserve"> members.  There are also two inspectors who were appointed by Gov. Walker that have worked well with our members on the council</w:t>
      </w:r>
      <w:r w:rsidR="00997962">
        <w:rPr>
          <w:rFonts w:eastAsia="Times New Roman" w:cs="Helvetica"/>
          <w:szCs w:val="24"/>
        </w:rPr>
        <w:t xml:space="preserve">; </w:t>
      </w:r>
      <w:r w:rsidRPr="006501F0">
        <w:rPr>
          <w:rFonts w:eastAsia="Times New Roman" w:cs="Helvetica"/>
          <w:szCs w:val="24"/>
        </w:rPr>
        <w:t>Brian Wert and Scott Satula.</w:t>
      </w:r>
    </w:p>
    <w:p w14:paraId="38DA7AD2" w14:textId="77777777" w:rsidR="006501F0" w:rsidRPr="006501F0" w:rsidRDefault="006501F0" w:rsidP="006501F0">
      <w:pPr>
        <w:pStyle w:val="NoSpacing"/>
        <w:rPr>
          <w:rFonts w:eastAsia="Times New Roman" w:cs="Helvetica"/>
          <w:szCs w:val="24"/>
        </w:rPr>
      </w:pPr>
    </w:p>
    <w:p w14:paraId="30A69D29" w14:textId="659FD741" w:rsidR="006501F0" w:rsidRPr="006501F0" w:rsidRDefault="006501F0" w:rsidP="006501F0">
      <w:pPr>
        <w:pStyle w:val="NoSpacing"/>
        <w:rPr>
          <w:rFonts w:eastAsia="Times New Roman" w:cs="Helvetica"/>
          <w:szCs w:val="24"/>
        </w:rPr>
      </w:pPr>
      <w:r w:rsidRPr="006501F0">
        <w:rPr>
          <w:rFonts w:eastAsia="Times New Roman" w:cs="Helvetica"/>
          <w:szCs w:val="24"/>
        </w:rPr>
        <w:t>Brian Wert was elected chair of the council and Mark Etrheim was elected vice chair.  This was a very positive result and Mark will have some influence on future agendas and the direction that the committee takes.</w:t>
      </w:r>
    </w:p>
    <w:p w14:paraId="02E803B1" w14:textId="77777777" w:rsidR="006501F0" w:rsidRPr="006501F0" w:rsidRDefault="006501F0" w:rsidP="006501F0">
      <w:pPr>
        <w:pStyle w:val="NoSpacing"/>
        <w:rPr>
          <w:rFonts w:eastAsia="Times New Roman" w:cs="Helvetica"/>
          <w:szCs w:val="24"/>
        </w:rPr>
      </w:pPr>
    </w:p>
    <w:p w14:paraId="19E24FF4" w14:textId="06D1A5F3" w:rsidR="006501F0" w:rsidRPr="006501F0" w:rsidRDefault="006501F0" w:rsidP="006501F0">
      <w:pPr>
        <w:pStyle w:val="NoSpacing"/>
        <w:rPr>
          <w:rFonts w:eastAsia="Times New Roman" w:cs="Helvetica"/>
          <w:szCs w:val="24"/>
        </w:rPr>
      </w:pPr>
      <w:r w:rsidRPr="006501F0">
        <w:rPr>
          <w:rFonts w:eastAsia="Times New Roman" w:cs="Helvetica"/>
          <w:szCs w:val="24"/>
        </w:rPr>
        <w:t xml:space="preserve">The council observed a presentation from a government affairs official from the ICC on why Wisconsin should move to the IRC as the base code in Wisconsin.  The prep work that was done leading up to the meeting to establish talking points and </w:t>
      </w:r>
      <w:r w:rsidR="00997962" w:rsidRPr="006501F0">
        <w:rPr>
          <w:rFonts w:eastAsia="Times New Roman" w:cs="Helvetica"/>
          <w:szCs w:val="24"/>
        </w:rPr>
        <w:t>real-world</w:t>
      </w:r>
      <w:r w:rsidRPr="006501F0">
        <w:rPr>
          <w:rFonts w:eastAsia="Times New Roman" w:cs="Helvetica"/>
          <w:szCs w:val="24"/>
        </w:rPr>
        <w:t xml:space="preserve"> examples of why the move to the IRC was well worth the time.  Mark and Abe did an excellent job of pushing back against a move to the IRC and other members of the council, most notably Dan Wald, Brian Wert, and Scott Satula, advocated for a slow pace to further discuss and review any changes to the UDC and to compare any changes to the IRC.   </w:t>
      </w:r>
    </w:p>
    <w:p w14:paraId="1A221564" w14:textId="77777777" w:rsidR="006501F0" w:rsidRPr="006501F0" w:rsidRDefault="006501F0" w:rsidP="006501F0">
      <w:pPr>
        <w:pStyle w:val="NoSpacing"/>
        <w:rPr>
          <w:rFonts w:eastAsia="Times New Roman" w:cs="Helvetica"/>
          <w:szCs w:val="24"/>
        </w:rPr>
      </w:pPr>
    </w:p>
    <w:p w14:paraId="289B6E54" w14:textId="77777777" w:rsidR="006501F0" w:rsidRPr="006501F0" w:rsidRDefault="006501F0" w:rsidP="006501F0">
      <w:pPr>
        <w:pStyle w:val="NoSpacing"/>
        <w:rPr>
          <w:rFonts w:eastAsia="Times New Roman" w:cs="Helvetica"/>
          <w:szCs w:val="24"/>
        </w:rPr>
      </w:pPr>
      <w:r w:rsidRPr="006501F0">
        <w:rPr>
          <w:rFonts w:eastAsia="Times New Roman" w:cs="Helvetica"/>
          <w:szCs w:val="24"/>
        </w:rPr>
        <w:t>Bob DuPont, a former DSPS employee, also made a presentation and submitted documents that advocated for the switch from the IRC to the UDC for the base code in Wisconsin.</w:t>
      </w:r>
    </w:p>
    <w:p w14:paraId="6DE44D8D" w14:textId="77777777" w:rsidR="006501F0" w:rsidRPr="006501F0" w:rsidRDefault="006501F0" w:rsidP="006501F0">
      <w:pPr>
        <w:pStyle w:val="NoSpacing"/>
        <w:rPr>
          <w:rFonts w:eastAsia="Times New Roman" w:cs="Helvetica"/>
          <w:szCs w:val="24"/>
        </w:rPr>
      </w:pPr>
    </w:p>
    <w:p w14:paraId="6A800D89" w14:textId="33D7FEB8" w:rsidR="006501F0" w:rsidRPr="006501F0" w:rsidRDefault="006501F0" w:rsidP="006501F0">
      <w:pPr>
        <w:pStyle w:val="NoSpacing"/>
        <w:rPr>
          <w:rFonts w:eastAsia="Times New Roman" w:cs="Helvetica"/>
          <w:szCs w:val="24"/>
        </w:rPr>
      </w:pPr>
      <w:r w:rsidRPr="006501F0">
        <w:rPr>
          <w:rFonts w:eastAsia="Times New Roman" w:cs="Helvetica"/>
          <w:szCs w:val="24"/>
        </w:rPr>
        <w:t>Ultimately</w:t>
      </w:r>
      <w:r w:rsidR="00997962">
        <w:rPr>
          <w:rFonts w:eastAsia="Times New Roman" w:cs="Helvetica"/>
          <w:szCs w:val="24"/>
        </w:rPr>
        <w:t>,</w:t>
      </w:r>
      <w:r w:rsidRPr="006501F0">
        <w:rPr>
          <w:rFonts w:eastAsia="Times New Roman" w:cs="Helvetica"/>
          <w:szCs w:val="24"/>
        </w:rPr>
        <w:t xml:space="preserve"> a motion was passed to table this discussion to a future meeting and to study the difference between the IRC and UDC.</w:t>
      </w:r>
    </w:p>
    <w:p w14:paraId="4D942F97" w14:textId="77777777" w:rsidR="006501F0" w:rsidRPr="006501F0" w:rsidRDefault="006501F0" w:rsidP="006501F0">
      <w:pPr>
        <w:pStyle w:val="NoSpacing"/>
        <w:rPr>
          <w:rFonts w:eastAsia="Times New Roman" w:cs="Helvetica"/>
          <w:szCs w:val="24"/>
        </w:rPr>
      </w:pPr>
    </w:p>
    <w:p w14:paraId="48F28022" w14:textId="0053AF77" w:rsidR="006501F0" w:rsidRPr="006501F0" w:rsidRDefault="006501F0" w:rsidP="006501F0">
      <w:pPr>
        <w:pStyle w:val="NoSpacing"/>
        <w:rPr>
          <w:rFonts w:eastAsia="Times New Roman" w:cs="Helvetica"/>
          <w:szCs w:val="24"/>
        </w:rPr>
      </w:pPr>
      <w:r w:rsidRPr="006501F0">
        <w:rPr>
          <w:rFonts w:eastAsia="Times New Roman" w:cs="Helvetica"/>
          <w:szCs w:val="24"/>
        </w:rPr>
        <w:t>With Mark’s election and no motion passed to move from the UDC to the IRC for the base code in Wisconsin</w:t>
      </w:r>
      <w:r w:rsidR="00997962">
        <w:rPr>
          <w:rFonts w:eastAsia="Times New Roman" w:cs="Helvetica"/>
          <w:szCs w:val="24"/>
        </w:rPr>
        <w:t>,</w:t>
      </w:r>
      <w:r w:rsidRPr="006501F0">
        <w:rPr>
          <w:rFonts w:eastAsia="Times New Roman" w:cs="Helvetica"/>
          <w:szCs w:val="24"/>
        </w:rPr>
        <w:t xml:space="preserve"> the results of the first UDC Council meeting in 16 months were positive.  On word of caution, the push to move to the IRC, or to incorporate provision of the IRC to the UDC (most notably on the energy code side) will be something that our members will have to push back on during every future meeting of the council.  We will continue to work together to make sure we have a coordinated effort on this topic.</w:t>
      </w:r>
    </w:p>
    <w:p w14:paraId="1A2A6EBF" w14:textId="77777777" w:rsidR="006501F0" w:rsidRPr="006501F0" w:rsidRDefault="006501F0" w:rsidP="006501F0">
      <w:pPr>
        <w:pStyle w:val="NoSpacing"/>
        <w:rPr>
          <w:rFonts w:eastAsia="Times New Roman" w:cs="Helvetica"/>
          <w:szCs w:val="24"/>
        </w:rPr>
      </w:pPr>
    </w:p>
    <w:p w14:paraId="45E353AD" w14:textId="1135D1AC" w:rsidR="00497BA3" w:rsidRDefault="006501F0" w:rsidP="006501F0">
      <w:pPr>
        <w:pStyle w:val="NoSpacing"/>
        <w:rPr>
          <w:rFonts w:eastAsia="Times New Roman" w:cs="Helvetica"/>
          <w:szCs w:val="24"/>
        </w:rPr>
      </w:pPr>
      <w:r w:rsidRPr="006501F0">
        <w:rPr>
          <w:rFonts w:eastAsia="Times New Roman" w:cs="Helvetica"/>
          <w:szCs w:val="24"/>
        </w:rPr>
        <w:t>The meeting was adjourned with no discussion of when a future meeting will take place.  When the goal is no big changes to the code the fact that there does not seem to be a big push to meet again soon is a positive sign.</w:t>
      </w:r>
    </w:p>
    <w:p w14:paraId="58B977BE" w14:textId="77777777" w:rsidR="006501F0" w:rsidRPr="00497BA3" w:rsidRDefault="006501F0" w:rsidP="006501F0">
      <w:pPr>
        <w:pStyle w:val="NoSpacing"/>
        <w:rPr>
          <w:rFonts w:eastAsia="Times New Roman" w:cs="Helvetica"/>
          <w:szCs w:val="24"/>
        </w:rPr>
      </w:pPr>
    </w:p>
    <w:p w14:paraId="719758AD" w14:textId="60E94B10" w:rsidR="00346056" w:rsidRDefault="00390A93" w:rsidP="00750DF8">
      <w:pPr>
        <w:pStyle w:val="NoSpacing"/>
        <w:rPr>
          <w:rFonts w:eastAsia="Times New Roman" w:cs="Helvetica"/>
          <w:b/>
          <w:bCs/>
          <w:szCs w:val="24"/>
        </w:rPr>
      </w:pPr>
      <w:r>
        <w:rPr>
          <w:rFonts w:eastAsia="Times New Roman" w:cs="Helvetica"/>
          <w:b/>
          <w:bCs/>
          <w:szCs w:val="24"/>
        </w:rPr>
        <w:t xml:space="preserve">Workforce Housing options in Wisconsin </w:t>
      </w:r>
    </w:p>
    <w:p w14:paraId="70F19D38" w14:textId="257F1ACF" w:rsidR="00390A93" w:rsidRDefault="00390A93" w:rsidP="00750DF8">
      <w:pPr>
        <w:pStyle w:val="NoSpacing"/>
        <w:rPr>
          <w:rFonts w:eastAsia="Times New Roman" w:cs="Helvetica"/>
          <w:szCs w:val="24"/>
        </w:rPr>
      </w:pPr>
      <w:r>
        <w:rPr>
          <w:rFonts w:eastAsia="Times New Roman" w:cs="Helvetica"/>
          <w:szCs w:val="24"/>
        </w:rPr>
        <w:t>The topic of providing more workforce housing options in Wisconsin is being talked about by members of the Wisconsin Legislature on both sides of the political aisle.  Recently</w:t>
      </w:r>
      <w:r w:rsidR="00997962">
        <w:rPr>
          <w:rFonts w:eastAsia="Times New Roman" w:cs="Helvetica"/>
          <w:szCs w:val="24"/>
        </w:rPr>
        <w:t>,</w:t>
      </w:r>
      <w:r>
        <w:rPr>
          <w:rFonts w:eastAsia="Times New Roman" w:cs="Helvetica"/>
          <w:szCs w:val="24"/>
        </w:rPr>
        <w:t xml:space="preserve"> WBA staff has </w:t>
      </w:r>
      <w:r>
        <w:rPr>
          <w:rFonts w:eastAsia="Times New Roman" w:cs="Helvetica"/>
          <w:szCs w:val="24"/>
        </w:rPr>
        <w:lastRenderedPageBreak/>
        <w:t>been meeting with legislative leaders to provide a summary of items related to workforce housing that have been introduced and provide some options for provisions in other states.  Those items are listed below for your review.</w:t>
      </w:r>
    </w:p>
    <w:p w14:paraId="41C7C64F" w14:textId="280FA8F4" w:rsidR="00390A93" w:rsidRDefault="00390A93" w:rsidP="00750DF8">
      <w:pPr>
        <w:pStyle w:val="NoSpacing"/>
        <w:rPr>
          <w:rFonts w:eastAsia="Times New Roman" w:cs="Helvetica"/>
          <w:szCs w:val="24"/>
        </w:rPr>
      </w:pPr>
    </w:p>
    <w:p w14:paraId="54E02277" w14:textId="77777777" w:rsidR="00390A93" w:rsidRPr="00390A93" w:rsidRDefault="00390A93" w:rsidP="00390A93">
      <w:pPr>
        <w:pStyle w:val="NoSpacing"/>
        <w:rPr>
          <w:b/>
          <w:bCs/>
          <w:szCs w:val="24"/>
        </w:rPr>
      </w:pPr>
      <w:r w:rsidRPr="00390A93">
        <w:rPr>
          <w:b/>
          <w:bCs/>
          <w:szCs w:val="24"/>
        </w:rPr>
        <w:t>2021 State Budget Provisions</w:t>
      </w:r>
    </w:p>
    <w:p w14:paraId="359707F2" w14:textId="214117F6" w:rsidR="00390A93" w:rsidRPr="00390A93" w:rsidRDefault="00390A93" w:rsidP="00390A93">
      <w:pPr>
        <w:pStyle w:val="NoSpacing"/>
        <w:rPr>
          <w:szCs w:val="24"/>
          <w:u w:val="single"/>
        </w:rPr>
      </w:pPr>
      <w:r w:rsidRPr="00390A93">
        <w:rPr>
          <w:szCs w:val="24"/>
          <w:u w:val="single"/>
        </w:rPr>
        <w:t>Tax Incremental Housing for Workforce Housing (recently removed from the state budget)</w:t>
      </w:r>
    </w:p>
    <w:p w14:paraId="7E18AB26" w14:textId="77777777" w:rsidR="00390A93" w:rsidRPr="00390A93" w:rsidRDefault="00390A93" w:rsidP="00390A93">
      <w:pPr>
        <w:pStyle w:val="NoSpacing"/>
        <w:numPr>
          <w:ilvl w:val="0"/>
          <w:numId w:val="9"/>
        </w:numPr>
        <w:rPr>
          <w:szCs w:val="24"/>
        </w:rPr>
      </w:pPr>
      <w:r w:rsidRPr="00390A93">
        <w:rPr>
          <w:szCs w:val="24"/>
        </w:rPr>
        <w:t>2021 AB 68, summary on pages 134-135</w:t>
      </w:r>
    </w:p>
    <w:p w14:paraId="136AC1A6" w14:textId="77777777" w:rsidR="00390A93" w:rsidRPr="00390A93" w:rsidRDefault="00390A93" w:rsidP="00390A93">
      <w:pPr>
        <w:pStyle w:val="NoSpacing"/>
        <w:numPr>
          <w:ilvl w:val="0"/>
          <w:numId w:val="9"/>
        </w:numPr>
        <w:rPr>
          <w:szCs w:val="24"/>
        </w:rPr>
      </w:pPr>
      <w:r w:rsidRPr="00390A93">
        <w:rPr>
          <w:szCs w:val="24"/>
        </w:rPr>
        <w:t>LRB Analysis of 2021-2021 Executive Budget Bill pages 136-137</w:t>
      </w:r>
    </w:p>
    <w:p w14:paraId="0193C610" w14:textId="77777777" w:rsidR="00390A93" w:rsidRPr="00390A93" w:rsidRDefault="00390A93" w:rsidP="00390A93">
      <w:pPr>
        <w:pStyle w:val="NoSpacing"/>
        <w:numPr>
          <w:ilvl w:val="0"/>
          <w:numId w:val="9"/>
        </w:numPr>
        <w:rPr>
          <w:szCs w:val="24"/>
        </w:rPr>
      </w:pPr>
      <w:r w:rsidRPr="00390A93">
        <w:rPr>
          <w:szCs w:val="24"/>
        </w:rPr>
        <w:t>This provision was also part of 2019 AB 859/SB 811 by Brooks and Feyen</w:t>
      </w:r>
    </w:p>
    <w:p w14:paraId="1D22159A" w14:textId="77777777" w:rsidR="00390A93" w:rsidRPr="00390A93" w:rsidRDefault="00390A93" w:rsidP="00390A93">
      <w:pPr>
        <w:pStyle w:val="NoSpacing"/>
        <w:rPr>
          <w:szCs w:val="24"/>
          <w:u w:val="single"/>
        </w:rPr>
      </w:pPr>
      <w:r w:rsidRPr="00390A93">
        <w:rPr>
          <w:szCs w:val="24"/>
          <w:u w:val="single"/>
        </w:rPr>
        <w:t>First-Time Homebuyer Savings Accounts</w:t>
      </w:r>
    </w:p>
    <w:p w14:paraId="3FA37ADB" w14:textId="77777777" w:rsidR="00390A93" w:rsidRPr="00390A93" w:rsidRDefault="00390A93" w:rsidP="00390A93">
      <w:pPr>
        <w:pStyle w:val="NoSpacing"/>
        <w:numPr>
          <w:ilvl w:val="0"/>
          <w:numId w:val="10"/>
        </w:numPr>
        <w:rPr>
          <w:szCs w:val="24"/>
        </w:rPr>
      </w:pPr>
      <w:r w:rsidRPr="00390A93">
        <w:rPr>
          <w:szCs w:val="24"/>
        </w:rPr>
        <w:t>2021 AB 68, summary on page 174</w:t>
      </w:r>
    </w:p>
    <w:p w14:paraId="7DACF497" w14:textId="77777777" w:rsidR="00390A93" w:rsidRPr="00390A93" w:rsidRDefault="00390A93" w:rsidP="00390A93">
      <w:pPr>
        <w:pStyle w:val="NoSpacing"/>
        <w:numPr>
          <w:ilvl w:val="0"/>
          <w:numId w:val="10"/>
        </w:numPr>
        <w:rPr>
          <w:szCs w:val="24"/>
        </w:rPr>
      </w:pPr>
      <w:r w:rsidRPr="00390A93">
        <w:rPr>
          <w:szCs w:val="24"/>
        </w:rPr>
        <w:t>LRB Analysis of 2021-2021 Executive Budget Bill page 178</w:t>
      </w:r>
    </w:p>
    <w:p w14:paraId="6F3042E2" w14:textId="77777777" w:rsidR="00390A93" w:rsidRPr="00390A93" w:rsidRDefault="00390A93" w:rsidP="00390A93">
      <w:pPr>
        <w:pStyle w:val="NoSpacing"/>
        <w:rPr>
          <w:szCs w:val="24"/>
        </w:rPr>
      </w:pPr>
    </w:p>
    <w:p w14:paraId="2982C606" w14:textId="77777777" w:rsidR="00390A93" w:rsidRPr="00390A93" w:rsidRDefault="00390A93" w:rsidP="00390A93">
      <w:pPr>
        <w:pStyle w:val="NoSpacing"/>
        <w:rPr>
          <w:b/>
          <w:bCs/>
          <w:szCs w:val="24"/>
        </w:rPr>
      </w:pPr>
      <w:r w:rsidRPr="00390A93">
        <w:rPr>
          <w:b/>
          <w:bCs/>
          <w:szCs w:val="24"/>
        </w:rPr>
        <w:t>2019-2020 Bills</w:t>
      </w:r>
    </w:p>
    <w:p w14:paraId="18F399A4" w14:textId="77777777" w:rsidR="00390A93" w:rsidRPr="00390A93" w:rsidRDefault="00390A93" w:rsidP="00390A93">
      <w:pPr>
        <w:pStyle w:val="NoSpacing"/>
        <w:rPr>
          <w:szCs w:val="24"/>
          <w:u w:val="single"/>
        </w:rPr>
      </w:pPr>
      <w:r w:rsidRPr="00390A93">
        <w:rPr>
          <w:szCs w:val="24"/>
          <w:u w:val="single"/>
        </w:rPr>
        <w:t xml:space="preserve">Sales Tax Exemption for Materials Used to Construct Workforce Housing; SB 791  </w:t>
      </w:r>
    </w:p>
    <w:p w14:paraId="5459EAAA" w14:textId="77777777" w:rsidR="00390A93" w:rsidRPr="00390A93" w:rsidRDefault="00390A93" w:rsidP="00390A93">
      <w:pPr>
        <w:pStyle w:val="ListParagraph"/>
        <w:numPr>
          <w:ilvl w:val="0"/>
          <w:numId w:val="11"/>
        </w:numPr>
        <w:autoSpaceDE w:val="0"/>
        <w:autoSpaceDN w:val="0"/>
        <w:adjustRightInd w:val="0"/>
        <w:spacing w:after="0" w:line="240" w:lineRule="auto"/>
        <w:rPr>
          <w:rFonts w:ascii="Liberation Sans" w:hAnsi="Liberation Sans" w:cs="NewCenturySchlbk-Roman"/>
          <w:sz w:val="24"/>
          <w:szCs w:val="24"/>
        </w:rPr>
      </w:pPr>
      <w:r w:rsidRPr="00390A93">
        <w:rPr>
          <w:rFonts w:ascii="Liberation Sans" w:hAnsi="Liberation Sans" w:cs="NewCenturySchlbk-Roman"/>
          <w:sz w:val="24"/>
          <w:szCs w:val="24"/>
        </w:rPr>
        <w:t>Creates a sales and use tax exemption for the sale of building materials, supplies, equipment, landscaping, and lawn maintenance services if the property or service is acquired solely for, or used solely in, the construction or development of a workforce housing development.</w:t>
      </w:r>
    </w:p>
    <w:p w14:paraId="188C5D8B" w14:textId="77777777" w:rsidR="00390A93" w:rsidRPr="00390A93" w:rsidRDefault="00390A93" w:rsidP="00390A93">
      <w:pPr>
        <w:pStyle w:val="ListParagraph"/>
        <w:numPr>
          <w:ilvl w:val="0"/>
          <w:numId w:val="11"/>
        </w:numPr>
        <w:autoSpaceDE w:val="0"/>
        <w:autoSpaceDN w:val="0"/>
        <w:adjustRightInd w:val="0"/>
        <w:spacing w:after="0" w:line="240" w:lineRule="auto"/>
        <w:rPr>
          <w:rFonts w:ascii="Liberation Sans" w:hAnsi="Liberation Sans" w:cs="NewCenturySchlbk-Roman"/>
          <w:sz w:val="24"/>
          <w:szCs w:val="24"/>
        </w:rPr>
      </w:pPr>
      <w:r w:rsidRPr="00390A93">
        <w:rPr>
          <w:rFonts w:ascii="Liberation Sans" w:hAnsi="Liberation Sans" w:cs="NewCenturySchlbk-Roman"/>
          <w:sz w:val="24"/>
          <w:szCs w:val="24"/>
        </w:rPr>
        <w:t>Residential units are intended for initial occupancy by households whose income is at least 60 percent, but not more than 120 percent, of the county's median household income.</w:t>
      </w:r>
    </w:p>
    <w:p w14:paraId="5BED528B" w14:textId="77777777" w:rsidR="00390A93" w:rsidRPr="00390A93" w:rsidRDefault="00390A93" w:rsidP="00390A93">
      <w:pPr>
        <w:pStyle w:val="ListParagraph"/>
        <w:autoSpaceDE w:val="0"/>
        <w:autoSpaceDN w:val="0"/>
        <w:adjustRightInd w:val="0"/>
        <w:spacing w:after="0" w:line="240" w:lineRule="auto"/>
        <w:rPr>
          <w:rFonts w:ascii="Liberation Sans" w:hAnsi="Liberation Sans"/>
          <w:sz w:val="24"/>
          <w:szCs w:val="24"/>
        </w:rPr>
      </w:pPr>
    </w:p>
    <w:p w14:paraId="3A848F6A" w14:textId="77777777" w:rsidR="00390A93" w:rsidRPr="00390A93" w:rsidRDefault="00390A93" w:rsidP="00390A93">
      <w:pPr>
        <w:autoSpaceDE w:val="0"/>
        <w:autoSpaceDN w:val="0"/>
        <w:adjustRightInd w:val="0"/>
        <w:spacing w:after="0" w:line="240" w:lineRule="auto"/>
        <w:rPr>
          <w:rFonts w:ascii="Liberation Sans" w:hAnsi="Liberation Sans" w:cs="NewCenturySchlbk-Roman"/>
          <w:sz w:val="24"/>
          <w:szCs w:val="24"/>
          <w:u w:val="single"/>
        </w:rPr>
      </w:pPr>
      <w:r w:rsidRPr="00390A93">
        <w:rPr>
          <w:rFonts w:ascii="Liberation Sans" w:hAnsi="Liberation Sans"/>
          <w:sz w:val="24"/>
          <w:szCs w:val="24"/>
          <w:u w:val="single"/>
        </w:rPr>
        <w:t>Creating Refundable Individual Income Tax Credit for Rehabilitation Expenses; SB 792/AB 905</w:t>
      </w:r>
    </w:p>
    <w:p w14:paraId="0A7EA516" w14:textId="77777777" w:rsidR="00390A93" w:rsidRPr="00390A93" w:rsidRDefault="00390A93" w:rsidP="00390A93">
      <w:pPr>
        <w:pStyle w:val="NoSpacing"/>
        <w:numPr>
          <w:ilvl w:val="0"/>
          <w:numId w:val="12"/>
        </w:numPr>
        <w:rPr>
          <w:szCs w:val="24"/>
        </w:rPr>
      </w:pPr>
      <w:r w:rsidRPr="00390A93">
        <w:rPr>
          <w:szCs w:val="24"/>
        </w:rPr>
        <w:t xml:space="preserve">A refundable individual income tax credit of 10 percent of the amount spent by the claimant on qualified rehabilitation expenditures on a construction or reconstruction project on eligible housing. </w:t>
      </w:r>
    </w:p>
    <w:p w14:paraId="378FECB9" w14:textId="77777777" w:rsidR="00390A93" w:rsidRPr="00390A93" w:rsidRDefault="00390A93" w:rsidP="00390A93">
      <w:pPr>
        <w:pStyle w:val="NoSpacing"/>
        <w:numPr>
          <w:ilvl w:val="0"/>
          <w:numId w:val="12"/>
        </w:numPr>
        <w:rPr>
          <w:szCs w:val="24"/>
        </w:rPr>
      </w:pPr>
      <w:r w:rsidRPr="00390A93">
        <w:rPr>
          <w:szCs w:val="24"/>
        </w:rPr>
        <w:t>Initial construction of the residence was completed before 1980 and the fair market value of the residence is equal to or less than the median price of a single-family residence located in the same county.</w:t>
      </w:r>
    </w:p>
    <w:p w14:paraId="277943BC" w14:textId="77777777" w:rsidR="00390A93" w:rsidRPr="00390A93" w:rsidRDefault="00390A93" w:rsidP="00390A93">
      <w:pPr>
        <w:pStyle w:val="NoSpacing"/>
        <w:numPr>
          <w:ilvl w:val="0"/>
          <w:numId w:val="12"/>
        </w:numPr>
        <w:rPr>
          <w:szCs w:val="24"/>
        </w:rPr>
      </w:pPr>
      <w:r w:rsidRPr="00390A93">
        <w:rPr>
          <w:szCs w:val="24"/>
        </w:rPr>
        <w:t>The maximum credit amount is $15,000 per claimant, which is 10 percent of up to $150,000 spent on qualified rehabilitation expenditures.</w:t>
      </w:r>
    </w:p>
    <w:p w14:paraId="7228448F" w14:textId="77777777" w:rsidR="00390A93" w:rsidRPr="00390A93" w:rsidRDefault="00390A93" w:rsidP="00390A93">
      <w:pPr>
        <w:pStyle w:val="NoSpacing"/>
        <w:numPr>
          <w:ilvl w:val="0"/>
          <w:numId w:val="12"/>
        </w:numPr>
        <w:rPr>
          <w:szCs w:val="24"/>
        </w:rPr>
      </w:pPr>
      <w:r w:rsidRPr="00390A93">
        <w:rPr>
          <w:szCs w:val="24"/>
        </w:rPr>
        <w:t>Homeowners could claim as much as $138 million annually in older housing rehabilitation credits</w:t>
      </w:r>
    </w:p>
    <w:p w14:paraId="0DDB03CF" w14:textId="77777777" w:rsidR="00390A93" w:rsidRPr="00390A93" w:rsidRDefault="00390A93" w:rsidP="00390A93">
      <w:pPr>
        <w:pStyle w:val="NoSpacing"/>
        <w:rPr>
          <w:szCs w:val="24"/>
        </w:rPr>
      </w:pPr>
    </w:p>
    <w:p w14:paraId="257CC980" w14:textId="38D9DB9B" w:rsidR="00390A93" w:rsidRPr="00390A93" w:rsidRDefault="00390A93" w:rsidP="00390A93">
      <w:pPr>
        <w:pStyle w:val="NoSpacing"/>
        <w:rPr>
          <w:b/>
          <w:bCs/>
          <w:szCs w:val="24"/>
        </w:rPr>
      </w:pPr>
      <w:r w:rsidRPr="00390A93">
        <w:rPr>
          <w:b/>
          <w:bCs/>
          <w:szCs w:val="24"/>
        </w:rPr>
        <w:t>Proposals</w:t>
      </w:r>
      <w:r w:rsidR="00976B86">
        <w:rPr>
          <w:b/>
          <w:bCs/>
          <w:szCs w:val="24"/>
        </w:rPr>
        <w:t xml:space="preserve"> in other states </w:t>
      </w:r>
    </w:p>
    <w:p w14:paraId="3F4B0CBD" w14:textId="77777777" w:rsidR="00390A93" w:rsidRPr="00390A93" w:rsidRDefault="00390A93" w:rsidP="00390A93">
      <w:pPr>
        <w:pStyle w:val="NoSpacing"/>
        <w:rPr>
          <w:szCs w:val="24"/>
          <w:u w:val="single"/>
        </w:rPr>
      </w:pPr>
      <w:r w:rsidRPr="00390A93">
        <w:rPr>
          <w:szCs w:val="24"/>
          <w:u w:val="single"/>
        </w:rPr>
        <w:t>Michigan: Employer Support of Workforce Housing Tax Credit; Michigan SB 360</w:t>
      </w:r>
    </w:p>
    <w:p w14:paraId="3D349550" w14:textId="77777777" w:rsidR="00390A93" w:rsidRPr="00390A93" w:rsidRDefault="00390A93" w:rsidP="00390A93">
      <w:pPr>
        <w:pStyle w:val="NoSpacing"/>
        <w:numPr>
          <w:ilvl w:val="0"/>
          <w:numId w:val="13"/>
        </w:numPr>
        <w:rPr>
          <w:szCs w:val="24"/>
        </w:rPr>
      </w:pPr>
      <w:r w:rsidRPr="00390A93">
        <w:rPr>
          <w:szCs w:val="24"/>
        </w:rPr>
        <w:t xml:space="preserve">Employers can claim an income tax credit equal to 50% of the total eligible contributions made during the tax year. Eligible contributions include: </w:t>
      </w:r>
    </w:p>
    <w:p w14:paraId="2550F20F" w14:textId="77777777" w:rsidR="00390A93" w:rsidRPr="00390A93" w:rsidRDefault="00390A93" w:rsidP="00390A93">
      <w:pPr>
        <w:pStyle w:val="NoSpacing"/>
        <w:numPr>
          <w:ilvl w:val="1"/>
          <w:numId w:val="13"/>
        </w:numPr>
        <w:rPr>
          <w:szCs w:val="24"/>
        </w:rPr>
      </w:pPr>
      <w:r w:rsidRPr="00390A93">
        <w:rPr>
          <w:szCs w:val="24"/>
        </w:rPr>
        <w:t xml:space="preserve">Supporting a local impact housing trust fund </w:t>
      </w:r>
    </w:p>
    <w:p w14:paraId="2D62F4AE" w14:textId="77777777" w:rsidR="00390A93" w:rsidRPr="00390A93" w:rsidRDefault="00390A93" w:rsidP="00390A93">
      <w:pPr>
        <w:pStyle w:val="NoSpacing"/>
        <w:numPr>
          <w:ilvl w:val="1"/>
          <w:numId w:val="13"/>
        </w:numPr>
        <w:rPr>
          <w:szCs w:val="24"/>
        </w:rPr>
      </w:pPr>
      <w:r w:rsidRPr="00390A93">
        <w:rPr>
          <w:szCs w:val="24"/>
        </w:rPr>
        <w:t xml:space="preserve">Offering employees the option to participate in a qualified employer-assisted housing project that assists employees in securing affordable housing near the workplace </w:t>
      </w:r>
    </w:p>
    <w:p w14:paraId="485178C6" w14:textId="77777777" w:rsidR="00390A93" w:rsidRPr="00390A93" w:rsidRDefault="00390A93" w:rsidP="00390A93">
      <w:pPr>
        <w:pStyle w:val="NoSpacing"/>
        <w:numPr>
          <w:ilvl w:val="1"/>
          <w:numId w:val="13"/>
        </w:numPr>
        <w:rPr>
          <w:szCs w:val="24"/>
        </w:rPr>
      </w:pPr>
      <w:r w:rsidRPr="00390A93">
        <w:rPr>
          <w:szCs w:val="24"/>
        </w:rPr>
        <w:t>A “project” is down-payment assistance, reduced-interest mortgages, mortgage guarantee programs, rental subsidies, individual development account savings plans, or any other similar type of project approved by MI State Housing Development Authority (MSHDA).</w:t>
      </w:r>
    </w:p>
    <w:p w14:paraId="78931B4B" w14:textId="77777777" w:rsidR="00390A93" w:rsidRPr="00390A93" w:rsidRDefault="00390A93" w:rsidP="00390A93">
      <w:pPr>
        <w:pStyle w:val="NoSpacing"/>
        <w:numPr>
          <w:ilvl w:val="1"/>
          <w:numId w:val="13"/>
        </w:numPr>
        <w:rPr>
          <w:szCs w:val="24"/>
        </w:rPr>
      </w:pPr>
      <w:r w:rsidRPr="00390A93">
        <w:rPr>
          <w:szCs w:val="24"/>
        </w:rPr>
        <w:t>These contributions are only eligible for employees whose adjusted household income is not more than 120% of the area median income as determined by MSHDA.</w:t>
      </w:r>
    </w:p>
    <w:p w14:paraId="3E8B0482" w14:textId="77777777" w:rsidR="00390A93" w:rsidRPr="00390A93" w:rsidRDefault="00390A93" w:rsidP="00390A93">
      <w:pPr>
        <w:pStyle w:val="NoSpacing"/>
        <w:ind w:left="3600"/>
        <w:rPr>
          <w:szCs w:val="24"/>
        </w:rPr>
      </w:pPr>
    </w:p>
    <w:p w14:paraId="7638B73B" w14:textId="77777777" w:rsidR="00390A93" w:rsidRPr="00390A93" w:rsidRDefault="00390A93" w:rsidP="00390A93">
      <w:pPr>
        <w:pStyle w:val="NoSpacing"/>
        <w:rPr>
          <w:szCs w:val="24"/>
          <w:u w:val="single"/>
        </w:rPr>
      </w:pPr>
      <w:r w:rsidRPr="00390A93">
        <w:rPr>
          <w:szCs w:val="24"/>
          <w:u w:val="single"/>
        </w:rPr>
        <w:lastRenderedPageBreak/>
        <w:t>New Jersey: American Dream Act; New Jersey SB 242</w:t>
      </w:r>
    </w:p>
    <w:p w14:paraId="78DA41A0" w14:textId="77777777" w:rsidR="00390A93" w:rsidRPr="00390A93" w:rsidRDefault="00390A93" w:rsidP="00390A93">
      <w:pPr>
        <w:pStyle w:val="NoSpacing"/>
        <w:numPr>
          <w:ilvl w:val="0"/>
          <w:numId w:val="13"/>
        </w:numPr>
        <w:rPr>
          <w:szCs w:val="24"/>
          <w:u w:val="single"/>
        </w:rPr>
      </w:pPr>
      <w:r w:rsidRPr="00390A93">
        <w:rPr>
          <w:szCs w:val="24"/>
        </w:rPr>
        <w:t>The grant program would provide down payment assistance and home repair assistance to certain low and moderate income, first-time homebuyers to defray the costs associated with acquiring and rehabilitating single-family housing for principal residence.</w:t>
      </w:r>
    </w:p>
    <w:p w14:paraId="6814863E" w14:textId="77777777" w:rsidR="00390A93" w:rsidRPr="00390A93" w:rsidRDefault="00390A93" w:rsidP="00390A93">
      <w:pPr>
        <w:pStyle w:val="NoSpacing"/>
        <w:numPr>
          <w:ilvl w:val="0"/>
          <w:numId w:val="13"/>
        </w:numPr>
        <w:rPr>
          <w:szCs w:val="24"/>
          <w:u w:val="single"/>
        </w:rPr>
      </w:pPr>
      <w:r w:rsidRPr="00390A93">
        <w:rPr>
          <w:szCs w:val="24"/>
        </w:rPr>
        <w:t>Under the grant program, the maximum grant awarded to each first-time homebuyer would not exceed six percent of the home’s purchase price or $10,000, whichever is greater.</w:t>
      </w:r>
    </w:p>
    <w:p w14:paraId="766EE0BF" w14:textId="77777777" w:rsidR="00390A93" w:rsidRPr="00390A93" w:rsidRDefault="00390A93" w:rsidP="00390A93">
      <w:pPr>
        <w:pStyle w:val="NoSpacing"/>
        <w:ind w:firstLine="720"/>
        <w:rPr>
          <w:i/>
          <w:iCs/>
          <w:szCs w:val="24"/>
        </w:rPr>
      </w:pPr>
      <w:r w:rsidRPr="00390A93">
        <w:rPr>
          <w:i/>
          <w:iCs/>
          <w:szCs w:val="24"/>
        </w:rPr>
        <w:t>Suggestion: if this were used as a guide, target only workforce housing units</w:t>
      </w:r>
    </w:p>
    <w:p w14:paraId="16B0F2A1" w14:textId="77777777" w:rsidR="00390A93" w:rsidRPr="00390A93" w:rsidRDefault="00390A93" w:rsidP="00390A93">
      <w:pPr>
        <w:pStyle w:val="NoSpacing"/>
        <w:ind w:firstLine="720"/>
        <w:rPr>
          <w:i/>
          <w:iCs/>
          <w:szCs w:val="24"/>
        </w:rPr>
      </w:pPr>
    </w:p>
    <w:p w14:paraId="1D58CC0E" w14:textId="77777777" w:rsidR="00390A93" w:rsidRPr="00390A93" w:rsidRDefault="00390A93" w:rsidP="00390A93">
      <w:pPr>
        <w:pStyle w:val="NoSpacing"/>
        <w:rPr>
          <w:i/>
          <w:iCs/>
          <w:szCs w:val="24"/>
        </w:rPr>
      </w:pPr>
      <w:r w:rsidRPr="00390A93">
        <w:rPr>
          <w:szCs w:val="24"/>
          <w:u w:val="single"/>
        </w:rPr>
        <w:t>Reducing the Cost of Housing Infrastructure</w:t>
      </w:r>
    </w:p>
    <w:p w14:paraId="7298E616" w14:textId="77777777" w:rsidR="00390A93" w:rsidRPr="00390A93" w:rsidRDefault="00390A93" w:rsidP="00390A93">
      <w:pPr>
        <w:pStyle w:val="NoSpacing"/>
        <w:numPr>
          <w:ilvl w:val="0"/>
          <w:numId w:val="14"/>
        </w:numPr>
        <w:rPr>
          <w:i/>
          <w:iCs/>
          <w:szCs w:val="24"/>
        </w:rPr>
      </w:pPr>
      <w:r w:rsidRPr="00390A93">
        <w:rPr>
          <w:szCs w:val="24"/>
        </w:rPr>
        <w:t>WHEDA CEO Joaquín J. Altoro recently mentioned one of the biggest challenges to workforce housing development was the cost of infrastructure (sewer, water, sidewalks) that a developer pays for and dedicates to a municipality.</w:t>
      </w:r>
    </w:p>
    <w:p w14:paraId="6EBFD240" w14:textId="77777777" w:rsidR="00390A93" w:rsidRPr="00390A93" w:rsidRDefault="00390A93" w:rsidP="00390A93">
      <w:pPr>
        <w:pStyle w:val="NoSpacing"/>
        <w:ind w:left="720"/>
        <w:rPr>
          <w:i/>
          <w:iCs/>
          <w:szCs w:val="24"/>
        </w:rPr>
      </w:pPr>
    </w:p>
    <w:p w14:paraId="4FF1CF9E" w14:textId="77777777" w:rsidR="00390A93" w:rsidRPr="00390A93" w:rsidRDefault="00390A93" w:rsidP="00390A93">
      <w:pPr>
        <w:pStyle w:val="NoSpacing"/>
        <w:ind w:left="720"/>
        <w:rPr>
          <w:szCs w:val="24"/>
        </w:rPr>
      </w:pPr>
      <w:r w:rsidRPr="00390A93">
        <w:rPr>
          <w:szCs w:val="24"/>
        </w:rPr>
        <w:t>A grant program could be developed to help municipalities to pay for infrastructure for developments that contain at least 60% workforce housing units to help drive down the cost of development.</w:t>
      </w:r>
    </w:p>
    <w:p w14:paraId="0AB6CFAC" w14:textId="77777777" w:rsidR="00390A93" w:rsidRPr="00390A93" w:rsidRDefault="00390A93" w:rsidP="00390A93">
      <w:pPr>
        <w:pStyle w:val="NoSpacing"/>
        <w:ind w:left="720"/>
        <w:rPr>
          <w:szCs w:val="24"/>
        </w:rPr>
      </w:pPr>
    </w:p>
    <w:p w14:paraId="2249A2D9" w14:textId="77777777" w:rsidR="00390A93" w:rsidRPr="00390A93" w:rsidRDefault="00390A93" w:rsidP="00390A93">
      <w:pPr>
        <w:pStyle w:val="NoSpacing"/>
        <w:ind w:left="720"/>
        <w:rPr>
          <w:szCs w:val="24"/>
        </w:rPr>
      </w:pPr>
      <w:r w:rsidRPr="00390A93">
        <w:rPr>
          <w:szCs w:val="24"/>
        </w:rPr>
        <w:t>You could use the definition of “property for public use” with the same definition used in 2019 SB 791: includes sidewalks, wastewater collection and treatment systems, drinking water systems, storm sewers, utility extensions, telecommunications infrastructure, streets, roads, bridges, and parking ramps.</w:t>
      </w:r>
    </w:p>
    <w:p w14:paraId="7DF91C7F" w14:textId="77777777" w:rsidR="00390A93" w:rsidRPr="00390A93" w:rsidRDefault="00390A93" w:rsidP="00390A93">
      <w:pPr>
        <w:pStyle w:val="NoSpacing"/>
        <w:ind w:left="1440"/>
        <w:rPr>
          <w:szCs w:val="24"/>
        </w:rPr>
      </w:pPr>
    </w:p>
    <w:p w14:paraId="58C720C8" w14:textId="77777777" w:rsidR="00390A93" w:rsidRPr="00390A93" w:rsidRDefault="00390A93" w:rsidP="00390A93">
      <w:pPr>
        <w:pStyle w:val="NoSpacing"/>
        <w:numPr>
          <w:ilvl w:val="0"/>
          <w:numId w:val="14"/>
        </w:numPr>
        <w:rPr>
          <w:szCs w:val="24"/>
        </w:rPr>
      </w:pPr>
      <w:r w:rsidRPr="00390A93">
        <w:rPr>
          <w:szCs w:val="24"/>
        </w:rPr>
        <w:t xml:space="preserve">Create mandates or incentives for municipalities to lower the minimum lot sizes for new developments and reduce the widths of streets, sidewalks, and setbacks. </w:t>
      </w:r>
    </w:p>
    <w:p w14:paraId="6A41812E" w14:textId="77777777" w:rsidR="00390A93" w:rsidRPr="00FC1388" w:rsidRDefault="00390A93" w:rsidP="00390A93">
      <w:pPr>
        <w:pStyle w:val="NoSpacing"/>
        <w:rPr>
          <w:szCs w:val="24"/>
        </w:rPr>
      </w:pPr>
    </w:p>
    <w:p w14:paraId="69704292" w14:textId="5B3B2004" w:rsidR="006501F0" w:rsidRPr="006501F0" w:rsidRDefault="006501F0" w:rsidP="006501F0">
      <w:pPr>
        <w:pStyle w:val="Heading1"/>
        <w:shd w:val="clear" w:color="auto" w:fill="FFFFFF"/>
        <w:spacing w:before="60" w:after="0" w:line="473" w:lineRule="atLeast"/>
        <w:rPr>
          <w:rFonts w:ascii="Liberation Sans" w:hAnsi="Liberation Sans" w:cs="Helvetica"/>
          <w:spacing w:val="-15"/>
          <w:sz w:val="24"/>
          <w:szCs w:val="24"/>
        </w:rPr>
      </w:pPr>
      <w:r w:rsidRPr="006501F0">
        <w:rPr>
          <w:rFonts w:ascii="Liberation Sans" w:hAnsi="Liberation Sans" w:cs="Helvetica"/>
          <w:spacing w:val="-15"/>
          <w:sz w:val="24"/>
          <w:szCs w:val="24"/>
        </w:rPr>
        <w:t>From NAHB: Gains for Single-Family Built-for-Rent Ahead?</w:t>
      </w:r>
    </w:p>
    <w:p w14:paraId="12B6BD6C" w14:textId="6F637E0C" w:rsidR="006501F0" w:rsidRPr="006501F0" w:rsidRDefault="006501F0" w:rsidP="006501F0">
      <w:pPr>
        <w:pStyle w:val="postmetadata"/>
        <w:shd w:val="clear" w:color="auto" w:fill="FFFFFF"/>
        <w:spacing w:before="0" w:beforeAutospacing="0" w:after="0" w:afterAutospacing="0" w:line="262" w:lineRule="atLeast"/>
        <w:rPr>
          <w:rFonts w:ascii="Liberation Sans" w:hAnsi="Liberation Sans" w:cs="Helvetica"/>
          <w:caps/>
          <w:spacing w:val="15"/>
        </w:rPr>
      </w:pPr>
      <w:r w:rsidRPr="006501F0">
        <w:rPr>
          <w:rStyle w:val="byline"/>
          <w:rFonts w:ascii="Liberation Sans" w:hAnsi="Liberation Sans" w:cs="Helvetica"/>
          <w:caps/>
          <w:spacing w:val="15"/>
        </w:rPr>
        <w:t>BY </w:t>
      </w:r>
      <w:hyperlink r:id="rId9" w:tooltip="View all posts by Robert Dietz" w:history="1">
        <w:r w:rsidRPr="006501F0">
          <w:rPr>
            <w:rStyle w:val="Hyperlink"/>
            <w:rFonts w:ascii="Liberation Sans" w:hAnsi="Liberation Sans" w:cs="Helvetica"/>
            <w:caps/>
            <w:color w:val="auto"/>
            <w:spacing w:val="15"/>
          </w:rPr>
          <w:t>ROBERT DIETZ</w:t>
        </w:r>
      </w:hyperlink>
      <w:r w:rsidRPr="006501F0">
        <w:rPr>
          <w:rFonts w:ascii="Liberation Sans" w:hAnsi="Liberation Sans" w:cs="Helvetica"/>
          <w:caps/>
          <w:spacing w:val="15"/>
        </w:rPr>
        <w:t> </w:t>
      </w:r>
      <w:r w:rsidRPr="006501F0">
        <w:rPr>
          <w:rStyle w:val="Emphasis"/>
          <w:rFonts w:ascii="Liberation Sans" w:hAnsi="Liberation Sans" w:cs="Helvetica"/>
          <w:caps/>
          <w:spacing w:val="15"/>
        </w:rPr>
        <w:t>on</w:t>
      </w:r>
      <w:r w:rsidRPr="006501F0">
        <w:rPr>
          <w:rFonts w:ascii="Liberation Sans" w:hAnsi="Liberation Sans" w:cs="Helvetica"/>
          <w:caps/>
          <w:spacing w:val="15"/>
        </w:rPr>
        <w:t> </w:t>
      </w:r>
      <w:hyperlink r:id="rId10" w:tooltip="8:45 am" w:history="1">
        <w:r w:rsidRPr="006501F0">
          <w:rPr>
            <w:rStyle w:val="Hyperlink"/>
            <w:rFonts w:ascii="Liberation Sans" w:hAnsi="Liberation Sans" w:cs="Helvetica"/>
            <w:caps/>
            <w:color w:val="auto"/>
            <w:spacing w:val="15"/>
          </w:rPr>
          <w:t>MAY 19, 2021</w:t>
        </w:r>
      </w:hyperlink>
      <w:r w:rsidRPr="006501F0">
        <w:rPr>
          <w:rFonts w:ascii="Liberation Sans" w:hAnsi="Liberation Sans" w:cs="Helvetica"/>
          <w:caps/>
          <w:spacing w:val="15"/>
        </w:rPr>
        <w:t> </w:t>
      </w:r>
    </w:p>
    <w:p w14:paraId="5F0CD611" w14:textId="3C2E91CE" w:rsidR="006501F0" w:rsidRDefault="006501F0" w:rsidP="006501F0">
      <w:pPr>
        <w:pStyle w:val="NormalWeb"/>
        <w:spacing w:before="0" w:beforeAutospacing="0" w:after="0" w:afterAutospacing="0" w:line="349" w:lineRule="atLeast"/>
        <w:rPr>
          <w:rFonts w:ascii="Liberation Sans" w:hAnsi="Liberation Sans"/>
        </w:rPr>
      </w:pPr>
      <w:r w:rsidRPr="006501F0">
        <w:rPr>
          <w:rFonts w:ascii="Liberation Sans" w:hAnsi="Liberation Sans"/>
        </w:rPr>
        <w:t>Counter to expectations, the number of single-family homes built-for-rent (</w:t>
      </w:r>
      <w:hyperlink r:id="rId11" w:history="1">
        <w:r w:rsidRPr="006501F0">
          <w:rPr>
            <w:rStyle w:val="Hyperlink"/>
            <w:rFonts w:ascii="Liberation Sans" w:hAnsi="Liberation Sans"/>
            <w:color w:val="auto"/>
          </w:rPr>
          <w:t>SFBFR</w:t>
        </w:r>
      </w:hyperlink>
      <w:r w:rsidRPr="006501F0">
        <w:rPr>
          <w:rFonts w:ascii="Liberation Sans" w:hAnsi="Liberation Sans"/>
        </w:rPr>
        <w:t>) construction starts posted a year-over-year decline for the first quarter of 2021. The SFBFR market is a way to add single-family inventory amid concerns over housing affordability and downpayment requirements in the for-sale market, particularly during a period when people want more space and a single-family structure. Single-family built-for-rent </w:t>
      </w:r>
      <w:hyperlink r:id="rId12" w:history="1">
        <w:r w:rsidRPr="006501F0">
          <w:rPr>
            <w:rStyle w:val="Hyperlink"/>
            <w:rFonts w:ascii="Liberation Sans" w:hAnsi="Liberation Sans"/>
            <w:color w:val="auto"/>
          </w:rPr>
          <w:t>construction differs</w:t>
        </w:r>
      </w:hyperlink>
      <w:r w:rsidRPr="006501F0">
        <w:rPr>
          <w:rFonts w:ascii="Liberation Sans" w:hAnsi="Liberation Sans"/>
        </w:rPr>
        <w:t> with respect to structural characteristics compared to other newly-built single-family homes, particularly with respect to home size.</w:t>
      </w:r>
    </w:p>
    <w:p w14:paraId="619C5497" w14:textId="77777777" w:rsidR="006501F0" w:rsidRPr="006501F0" w:rsidRDefault="006501F0" w:rsidP="006501F0">
      <w:pPr>
        <w:pStyle w:val="NormalWeb"/>
        <w:spacing w:before="0" w:beforeAutospacing="0" w:after="0" w:afterAutospacing="0" w:line="349" w:lineRule="atLeast"/>
        <w:rPr>
          <w:rFonts w:ascii="Liberation Sans" w:hAnsi="Liberation Sans"/>
        </w:rPr>
      </w:pPr>
    </w:p>
    <w:p w14:paraId="0A7D431D" w14:textId="77777777" w:rsidR="006501F0" w:rsidRPr="006501F0" w:rsidRDefault="006501F0" w:rsidP="006501F0">
      <w:pPr>
        <w:pStyle w:val="NormalWeb"/>
        <w:spacing w:before="0" w:beforeAutospacing="0" w:after="0" w:afterAutospacing="0" w:line="349" w:lineRule="atLeast"/>
        <w:rPr>
          <w:rFonts w:ascii="Liberation Sans" w:hAnsi="Liberation Sans"/>
        </w:rPr>
      </w:pPr>
      <w:r w:rsidRPr="006501F0">
        <w:rPr>
          <w:rFonts w:ascii="Liberation Sans" w:hAnsi="Liberation Sans"/>
        </w:rPr>
        <w:t>According to NAHB’s analysis of data from the Census Bureau’s </w:t>
      </w:r>
      <w:hyperlink r:id="rId13" w:history="1">
        <w:r w:rsidRPr="006501F0">
          <w:rPr>
            <w:rStyle w:val="Hyperlink"/>
            <w:rFonts w:ascii="Liberation Sans" w:hAnsi="Liberation Sans"/>
            <w:color w:val="auto"/>
          </w:rPr>
          <w:t>Quarterly Starts and Completions by Purpose and Design</w:t>
        </w:r>
      </w:hyperlink>
      <w:r w:rsidRPr="006501F0">
        <w:rPr>
          <w:rFonts w:ascii="Liberation Sans" w:hAnsi="Liberation Sans"/>
        </w:rPr>
        <w:t>, there were approximately 7,000 single-family built-for-rent starts during the fourth quarter of 2020. This was a 22% decline relative to the first quarter 2020 total of 9,000. Over the last four quarters, 42,000 such homes began construction, which is about flat compared to the 41,000 estimated SFBFR starts for the four prior quarters.</w:t>
      </w:r>
    </w:p>
    <w:p w14:paraId="02846975" w14:textId="77777777" w:rsidR="006501F0" w:rsidRPr="006501F0" w:rsidRDefault="006501F0" w:rsidP="006501F0">
      <w:pPr>
        <w:pStyle w:val="NormalWeb"/>
        <w:spacing w:before="225" w:beforeAutospacing="0" w:after="225" w:afterAutospacing="0" w:line="349" w:lineRule="atLeast"/>
        <w:rPr>
          <w:rFonts w:ascii="Liberation Sans" w:hAnsi="Liberation Sans"/>
        </w:rPr>
      </w:pPr>
      <w:r w:rsidRPr="006501F0">
        <w:rPr>
          <w:rFonts w:ascii="Liberation Sans" w:hAnsi="Liberation Sans"/>
        </w:rPr>
        <w:t xml:space="preserve">Given the small size of this market segment, the quarter-to-quarter movements typically are not statistically significant. The current four-quarter moving average of market share (4.1%) remains </w:t>
      </w:r>
      <w:r w:rsidRPr="006501F0">
        <w:rPr>
          <w:rFonts w:ascii="Liberation Sans" w:hAnsi="Liberation Sans"/>
        </w:rPr>
        <w:lastRenderedPageBreak/>
        <w:t>higher than the historical average of 2.7% (1992-2012) but is down from the 5.8% reading registered at the start of 2013.</w:t>
      </w:r>
    </w:p>
    <w:p w14:paraId="2CCE70A4" w14:textId="77777777" w:rsidR="006501F0" w:rsidRPr="006501F0" w:rsidRDefault="006501F0" w:rsidP="006501F0">
      <w:pPr>
        <w:pStyle w:val="NormalWeb"/>
        <w:spacing w:before="225" w:beforeAutospacing="0" w:after="225" w:afterAutospacing="0" w:line="349" w:lineRule="atLeast"/>
        <w:rPr>
          <w:rFonts w:ascii="Liberation Sans" w:hAnsi="Liberation Sans"/>
        </w:rPr>
      </w:pPr>
      <w:r w:rsidRPr="006501F0">
        <w:rPr>
          <w:rFonts w:ascii="Liberation Sans" w:hAnsi="Liberation Sans"/>
        </w:rPr>
        <w:t>Importantly, as measured for this analysis, this class of single-family construction excludes homes that are sold to another party for rental purposes, which NAHB estimates may represent another two percent of single-family starts. The estimates in this post only include homes built and held by the builder for rental purposes. It is possible this share is rising, and we will have future survey results to explore it.</w:t>
      </w:r>
    </w:p>
    <w:p w14:paraId="06C413D5" w14:textId="01BA0035" w:rsidR="006501F0" w:rsidRDefault="006501F0" w:rsidP="006501F0">
      <w:pPr>
        <w:pStyle w:val="NormalWeb"/>
        <w:spacing w:before="225" w:beforeAutospacing="0" w:after="225" w:afterAutospacing="0" w:line="349" w:lineRule="atLeast"/>
        <w:rPr>
          <w:color w:val="002663"/>
        </w:rPr>
      </w:pPr>
      <w:r>
        <w:rPr>
          <w:noProof/>
          <w:color w:val="002663"/>
        </w:rPr>
        <w:drawing>
          <wp:inline distT="0" distB="0" distL="0" distR="0" wp14:anchorId="25708A24" wp14:editId="10009753">
            <wp:extent cx="6667500" cy="5000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7500" cy="5000625"/>
                    </a:xfrm>
                    <a:prstGeom prst="rect">
                      <a:avLst/>
                    </a:prstGeom>
                    <a:noFill/>
                    <a:ln>
                      <a:noFill/>
                    </a:ln>
                  </pic:spPr>
                </pic:pic>
              </a:graphicData>
            </a:graphic>
          </wp:inline>
        </w:drawing>
      </w:r>
    </w:p>
    <w:p w14:paraId="2B398B1A" w14:textId="77777777" w:rsidR="006501F0" w:rsidRPr="006501F0" w:rsidRDefault="006501F0" w:rsidP="006501F0">
      <w:pPr>
        <w:pStyle w:val="NormalWeb"/>
        <w:spacing w:before="0" w:beforeAutospacing="0" w:after="0" w:afterAutospacing="0" w:line="349" w:lineRule="atLeast"/>
        <w:rPr>
          <w:rFonts w:ascii="Liberation Sans" w:hAnsi="Liberation Sans"/>
        </w:rPr>
      </w:pPr>
      <w:r w:rsidRPr="006501F0">
        <w:rPr>
          <w:rFonts w:ascii="Liberation Sans" w:hAnsi="Liberation Sans"/>
        </w:rPr>
        <w:t>With the onset of the Great Recession and declines in the </w:t>
      </w:r>
      <w:hyperlink r:id="rId15" w:history="1">
        <w:r w:rsidRPr="006501F0">
          <w:rPr>
            <w:rStyle w:val="Hyperlink"/>
            <w:rFonts w:ascii="Liberation Sans" w:hAnsi="Liberation Sans"/>
            <w:color w:val="auto"/>
          </w:rPr>
          <w:t>homeownership rate</w:t>
        </w:r>
      </w:hyperlink>
      <w:r w:rsidRPr="006501F0">
        <w:rPr>
          <w:rFonts w:ascii="Liberation Sans" w:hAnsi="Liberation Sans"/>
        </w:rPr>
        <w:t>, the share of built-for-rent homes increased in the years after the recession. While the market share of SFBFR homes is small, it has been trending higher. As more households seek lower density neighborhoods and single-family residences, but some must do so from the perspective of renting, the SFBFR market will likely expand in the quarters ahead as the economy recovers from the virus crisis.</w:t>
      </w:r>
    </w:p>
    <w:p w14:paraId="1179D21E" w14:textId="6EFC723D" w:rsidR="00234890" w:rsidRPr="002F6484" w:rsidRDefault="00234890" w:rsidP="006501F0">
      <w:pPr>
        <w:pStyle w:val="NoSpacing"/>
        <w:rPr>
          <w:rFonts w:eastAsia="Times New Roman" w:cs="Helvetica"/>
          <w:szCs w:val="24"/>
        </w:rPr>
      </w:pPr>
    </w:p>
    <w:sectPr w:rsidR="00234890" w:rsidRPr="002F6484" w:rsidSect="00D54921">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33EB9" w14:textId="77777777" w:rsidR="00D77070" w:rsidRDefault="00D77070" w:rsidP="008F1359">
      <w:pPr>
        <w:spacing w:after="0" w:line="240" w:lineRule="auto"/>
      </w:pPr>
      <w:r>
        <w:separator/>
      </w:r>
    </w:p>
  </w:endnote>
  <w:endnote w:type="continuationSeparator" w:id="0">
    <w:p w14:paraId="02136027" w14:textId="77777777" w:rsidR="00D77070" w:rsidRDefault="00D77070" w:rsidP="008F1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Liberation Sans"/>
    <w:panose1 w:val="020B0604020202020204"/>
    <w:charset w:val="00"/>
    <w:family w:val="swiss"/>
    <w:pitch w:val="variable"/>
    <w:sig w:usb0="A00002AF" w:usb1="5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ewCenturySchlbk-Roma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95311918"/>
      <w:docPartObj>
        <w:docPartGallery w:val="Page Numbers (Bottom of Page)"/>
        <w:docPartUnique/>
      </w:docPartObj>
    </w:sdtPr>
    <w:sdtEndPr>
      <w:rPr>
        <w:noProof/>
      </w:rPr>
    </w:sdtEndPr>
    <w:sdtContent>
      <w:p w14:paraId="1F90AF7C" w14:textId="77777777" w:rsidR="00A43C2A" w:rsidRDefault="00A43C2A">
        <w:pPr>
          <w:pStyle w:val="Footer"/>
          <w:jc w:val="right"/>
          <w:rPr>
            <w:sz w:val="20"/>
            <w:szCs w:val="20"/>
          </w:rPr>
        </w:pPr>
      </w:p>
      <w:p w14:paraId="1B2051E3" w14:textId="77777777" w:rsidR="00A20A08" w:rsidRDefault="00A20A08" w:rsidP="00B068AF">
        <w:pPr>
          <w:pStyle w:val="Footer"/>
          <w:jc w:val="right"/>
          <w:rPr>
            <w:sz w:val="20"/>
            <w:szCs w:val="20"/>
          </w:rPr>
        </w:pPr>
        <w:r>
          <w:rPr>
            <w:sz w:val="20"/>
            <w:szCs w:val="20"/>
          </w:rPr>
          <w:t>May</w:t>
        </w:r>
      </w:p>
      <w:p w14:paraId="131D80F1" w14:textId="77A2D4B9" w:rsidR="008F1359" w:rsidRPr="008F1359" w:rsidRDefault="00A20A08" w:rsidP="00B068AF">
        <w:pPr>
          <w:pStyle w:val="Footer"/>
          <w:jc w:val="right"/>
          <w:rPr>
            <w:sz w:val="20"/>
            <w:szCs w:val="20"/>
          </w:rPr>
        </w:pPr>
        <w:r>
          <w:rPr>
            <w:sz w:val="20"/>
            <w:szCs w:val="20"/>
          </w:rPr>
          <w:t>May</w:t>
        </w:r>
        <w:r w:rsidR="00346056">
          <w:rPr>
            <w:sz w:val="20"/>
            <w:szCs w:val="20"/>
          </w:rPr>
          <w:t xml:space="preserve"> </w:t>
        </w:r>
        <w:r w:rsidR="000A4777">
          <w:rPr>
            <w:sz w:val="20"/>
            <w:szCs w:val="20"/>
          </w:rPr>
          <w:t>‘21</w:t>
        </w:r>
        <w:r w:rsidR="008F1359" w:rsidRPr="008F1359">
          <w:rPr>
            <w:sz w:val="20"/>
            <w:szCs w:val="20"/>
          </w:rPr>
          <w:t xml:space="preserve"> |</w:t>
        </w:r>
        <w:r w:rsidR="0062023D">
          <w:rPr>
            <w:sz w:val="20"/>
            <w:szCs w:val="20"/>
          </w:rPr>
          <w:t xml:space="preserve"> </w:t>
        </w:r>
        <w:r w:rsidR="008F1359">
          <w:rPr>
            <w:sz w:val="20"/>
            <w:szCs w:val="20"/>
          </w:rPr>
          <w:t>PAGE</w:t>
        </w:r>
        <w:r w:rsidR="008F1359" w:rsidRPr="008F1359">
          <w:rPr>
            <w:sz w:val="20"/>
            <w:szCs w:val="20"/>
          </w:rPr>
          <w:t xml:space="preserve"> </w:t>
        </w:r>
        <w:r w:rsidR="008F1359" w:rsidRPr="008F1359">
          <w:rPr>
            <w:sz w:val="20"/>
            <w:szCs w:val="20"/>
          </w:rPr>
          <w:fldChar w:fldCharType="begin"/>
        </w:r>
        <w:r w:rsidR="008F1359" w:rsidRPr="008F1359">
          <w:rPr>
            <w:sz w:val="20"/>
            <w:szCs w:val="20"/>
          </w:rPr>
          <w:instrText xml:space="preserve"> PAGE   \* MERGEFORMAT </w:instrText>
        </w:r>
        <w:r w:rsidR="008F1359" w:rsidRPr="008F1359">
          <w:rPr>
            <w:sz w:val="20"/>
            <w:szCs w:val="20"/>
          </w:rPr>
          <w:fldChar w:fldCharType="separate"/>
        </w:r>
        <w:r w:rsidR="00507CC7">
          <w:rPr>
            <w:noProof/>
            <w:sz w:val="20"/>
            <w:szCs w:val="20"/>
          </w:rPr>
          <w:t>1</w:t>
        </w:r>
        <w:r w:rsidR="008F1359" w:rsidRPr="008F1359">
          <w:rPr>
            <w:noProof/>
            <w:sz w:val="20"/>
            <w:szCs w:val="20"/>
          </w:rPr>
          <w:fldChar w:fldCharType="end"/>
        </w:r>
      </w:p>
    </w:sdtContent>
  </w:sdt>
  <w:p w14:paraId="6DE84868" w14:textId="77777777" w:rsidR="008F1359" w:rsidRPr="008F1359" w:rsidRDefault="008F135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06136" w14:textId="77777777" w:rsidR="00D77070" w:rsidRDefault="00D77070" w:rsidP="008F1359">
      <w:pPr>
        <w:spacing w:after="0" w:line="240" w:lineRule="auto"/>
      </w:pPr>
      <w:r>
        <w:separator/>
      </w:r>
    </w:p>
  </w:footnote>
  <w:footnote w:type="continuationSeparator" w:id="0">
    <w:p w14:paraId="589D6F96" w14:textId="77777777" w:rsidR="00D77070" w:rsidRDefault="00D77070" w:rsidP="008F1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802E6"/>
    <w:multiLevelType w:val="hybridMultilevel"/>
    <w:tmpl w:val="9BE8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D448B"/>
    <w:multiLevelType w:val="hybridMultilevel"/>
    <w:tmpl w:val="FB405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B1E8D"/>
    <w:multiLevelType w:val="hybridMultilevel"/>
    <w:tmpl w:val="6DA6D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E85BEF"/>
    <w:multiLevelType w:val="hybridMultilevel"/>
    <w:tmpl w:val="52E4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80C18"/>
    <w:multiLevelType w:val="multilevel"/>
    <w:tmpl w:val="2D26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703997"/>
    <w:multiLevelType w:val="hybridMultilevel"/>
    <w:tmpl w:val="3E06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441CDE"/>
    <w:multiLevelType w:val="hybridMultilevel"/>
    <w:tmpl w:val="6DE6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624703"/>
    <w:multiLevelType w:val="hybridMultilevel"/>
    <w:tmpl w:val="873A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6B6E38"/>
    <w:multiLevelType w:val="hybridMultilevel"/>
    <w:tmpl w:val="CA9E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E02F48"/>
    <w:multiLevelType w:val="hybridMultilevel"/>
    <w:tmpl w:val="E6A0166C"/>
    <w:lvl w:ilvl="0" w:tplc="756AE614">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A563E5A"/>
    <w:multiLevelType w:val="hybridMultilevel"/>
    <w:tmpl w:val="735CF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C71DC7"/>
    <w:multiLevelType w:val="hybridMultilevel"/>
    <w:tmpl w:val="463A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A67A3D"/>
    <w:multiLevelType w:val="multilevel"/>
    <w:tmpl w:val="73CE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EA2DBB"/>
    <w:multiLevelType w:val="hybridMultilevel"/>
    <w:tmpl w:val="A6466B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0"/>
  </w:num>
  <w:num w:numId="4">
    <w:abstractNumId w:val="4"/>
  </w:num>
  <w:num w:numId="5">
    <w:abstractNumId w:val="0"/>
  </w:num>
  <w:num w:numId="6">
    <w:abstractNumId w:val="9"/>
  </w:num>
  <w:num w:numId="7">
    <w:abstractNumId w:val="2"/>
  </w:num>
  <w:num w:numId="8">
    <w:abstractNumId w:val="13"/>
  </w:num>
  <w:num w:numId="9">
    <w:abstractNumId w:val="11"/>
  </w:num>
  <w:num w:numId="10">
    <w:abstractNumId w:val="5"/>
  </w:num>
  <w:num w:numId="11">
    <w:abstractNumId w:val="3"/>
  </w:num>
  <w:num w:numId="12">
    <w:abstractNumId w:val="6"/>
  </w:num>
  <w:num w:numId="13">
    <w:abstractNumId w:val="1"/>
  </w:num>
  <w:num w:numId="14">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FE"/>
    <w:rsid w:val="0000205A"/>
    <w:rsid w:val="00006342"/>
    <w:rsid w:val="000128D4"/>
    <w:rsid w:val="00015A34"/>
    <w:rsid w:val="00015DCB"/>
    <w:rsid w:val="00021CA3"/>
    <w:rsid w:val="0002294B"/>
    <w:rsid w:val="000233A6"/>
    <w:rsid w:val="00023A92"/>
    <w:rsid w:val="00027227"/>
    <w:rsid w:val="000416AD"/>
    <w:rsid w:val="00046124"/>
    <w:rsid w:val="000536D1"/>
    <w:rsid w:val="00062521"/>
    <w:rsid w:val="00066D9D"/>
    <w:rsid w:val="00077F9E"/>
    <w:rsid w:val="000822B6"/>
    <w:rsid w:val="00083770"/>
    <w:rsid w:val="00087B9D"/>
    <w:rsid w:val="00090AA6"/>
    <w:rsid w:val="00091BCF"/>
    <w:rsid w:val="000960D4"/>
    <w:rsid w:val="000A4777"/>
    <w:rsid w:val="000A4BCE"/>
    <w:rsid w:val="000B7025"/>
    <w:rsid w:val="000C00B7"/>
    <w:rsid w:val="000D1E98"/>
    <w:rsid w:val="000D6BF0"/>
    <w:rsid w:val="000D6DB1"/>
    <w:rsid w:val="000E110C"/>
    <w:rsid w:val="000E13B1"/>
    <w:rsid w:val="000E1CD6"/>
    <w:rsid w:val="00100638"/>
    <w:rsid w:val="00110A6C"/>
    <w:rsid w:val="0011118D"/>
    <w:rsid w:val="00114520"/>
    <w:rsid w:val="00120756"/>
    <w:rsid w:val="00122339"/>
    <w:rsid w:val="0012374E"/>
    <w:rsid w:val="0012397D"/>
    <w:rsid w:val="00127BC2"/>
    <w:rsid w:val="00130EC5"/>
    <w:rsid w:val="0014030E"/>
    <w:rsid w:val="00145292"/>
    <w:rsid w:val="00145346"/>
    <w:rsid w:val="00151F78"/>
    <w:rsid w:val="00164B32"/>
    <w:rsid w:val="00170C2D"/>
    <w:rsid w:val="00171D63"/>
    <w:rsid w:val="00173EA0"/>
    <w:rsid w:val="00182FF8"/>
    <w:rsid w:val="00187351"/>
    <w:rsid w:val="0019142D"/>
    <w:rsid w:val="00196979"/>
    <w:rsid w:val="00197184"/>
    <w:rsid w:val="001A252B"/>
    <w:rsid w:val="001E6E45"/>
    <w:rsid w:val="001F0333"/>
    <w:rsid w:val="001F1B37"/>
    <w:rsid w:val="002069B5"/>
    <w:rsid w:val="00206CE6"/>
    <w:rsid w:val="002163CA"/>
    <w:rsid w:val="00222CDF"/>
    <w:rsid w:val="002239EF"/>
    <w:rsid w:val="002240FD"/>
    <w:rsid w:val="00227B95"/>
    <w:rsid w:val="0023058A"/>
    <w:rsid w:val="00234890"/>
    <w:rsid w:val="002401F7"/>
    <w:rsid w:val="00246F8E"/>
    <w:rsid w:val="00251787"/>
    <w:rsid w:val="00251D82"/>
    <w:rsid w:val="002524A9"/>
    <w:rsid w:val="00255946"/>
    <w:rsid w:val="00255CBB"/>
    <w:rsid w:val="002619E0"/>
    <w:rsid w:val="00261D8A"/>
    <w:rsid w:val="002802CC"/>
    <w:rsid w:val="0028158E"/>
    <w:rsid w:val="00284362"/>
    <w:rsid w:val="00284B77"/>
    <w:rsid w:val="002851FC"/>
    <w:rsid w:val="00287CC9"/>
    <w:rsid w:val="00291F7D"/>
    <w:rsid w:val="00292973"/>
    <w:rsid w:val="00292B25"/>
    <w:rsid w:val="00294216"/>
    <w:rsid w:val="002A419B"/>
    <w:rsid w:val="002A4FD3"/>
    <w:rsid w:val="002B528D"/>
    <w:rsid w:val="002B799C"/>
    <w:rsid w:val="002C274E"/>
    <w:rsid w:val="002D0572"/>
    <w:rsid w:val="002E48F4"/>
    <w:rsid w:val="002E661F"/>
    <w:rsid w:val="002E7D31"/>
    <w:rsid w:val="002F6484"/>
    <w:rsid w:val="002F6DB4"/>
    <w:rsid w:val="00301A8F"/>
    <w:rsid w:val="00313868"/>
    <w:rsid w:val="00322568"/>
    <w:rsid w:val="00330E1B"/>
    <w:rsid w:val="003337C8"/>
    <w:rsid w:val="00336720"/>
    <w:rsid w:val="0034420B"/>
    <w:rsid w:val="00345C88"/>
    <w:rsid w:val="00346056"/>
    <w:rsid w:val="00350536"/>
    <w:rsid w:val="00356A37"/>
    <w:rsid w:val="00356C18"/>
    <w:rsid w:val="003634B4"/>
    <w:rsid w:val="00364655"/>
    <w:rsid w:val="00364B1B"/>
    <w:rsid w:val="003741B3"/>
    <w:rsid w:val="0037593E"/>
    <w:rsid w:val="003827C6"/>
    <w:rsid w:val="00390A93"/>
    <w:rsid w:val="003C1257"/>
    <w:rsid w:val="003C4ABF"/>
    <w:rsid w:val="003D0280"/>
    <w:rsid w:val="003D14C4"/>
    <w:rsid w:val="003D40B8"/>
    <w:rsid w:val="003D4C2D"/>
    <w:rsid w:val="003E0342"/>
    <w:rsid w:val="004031EB"/>
    <w:rsid w:val="004073CC"/>
    <w:rsid w:val="00407645"/>
    <w:rsid w:val="004126F8"/>
    <w:rsid w:val="00414237"/>
    <w:rsid w:val="00421877"/>
    <w:rsid w:val="004244BA"/>
    <w:rsid w:val="00433779"/>
    <w:rsid w:val="004367D6"/>
    <w:rsid w:val="00441443"/>
    <w:rsid w:val="00441544"/>
    <w:rsid w:val="00443235"/>
    <w:rsid w:val="00446D43"/>
    <w:rsid w:val="00451F1E"/>
    <w:rsid w:val="004615C2"/>
    <w:rsid w:val="0046382B"/>
    <w:rsid w:val="0046590B"/>
    <w:rsid w:val="0046659A"/>
    <w:rsid w:val="0047034B"/>
    <w:rsid w:val="004746B8"/>
    <w:rsid w:val="00480F62"/>
    <w:rsid w:val="004813EC"/>
    <w:rsid w:val="0048222C"/>
    <w:rsid w:val="00495FFA"/>
    <w:rsid w:val="00497BA3"/>
    <w:rsid w:val="004A0C7B"/>
    <w:rsid w:val="004A3E99"/>
    <w:rsid w:val="004A5E21"/>
    <w:rsid w:val="004A6442"/>
    <w:rsid w:val="004B628D"/>
    <w:rsid w:val="004D3596"/>
    <w:rsid w:val="004D7A39"/>
    <w:rsid w:val="004E18E2"/>
    <w:rsid w:val="004F4FAF"/>
    <w:rsid w:val="004F5E69"/>
    <w:rsid w:val="004F6811"/>
    <w:rsid w:val="005020A9"/>
    <w:rsid w:val="00507537"/>
    <w:rsid w:val="00507CC7"/>
    <w:rsid w:val="00511021"/>
    <w:rsid w:val="00511B76"/>
    <w:rsid w:val="0051722E"/>
    <w:rsid w:val="005173B3"/>
    <w:rsid w:val="00524E06"/>
    <w:rsid w:val="0053233F"/>
    <w:rsid w:val="00533238"/>
    <w:rsid w:val="00547F7D"/>
    <w:rsid w:val="0056180B"/>
    <w:rsid w:val="00573CAD"/>
    <w:rsid w:val="00581F27"/>
    <w:rsid w:val="00594D0D"/>
    <w:rsid w:val="00597462"/>
    <w:rsid w:val="005C6440"/>
    <w:rsid w:val="005D00CB"/>
    <w:rsid w:val="005E5107"/>
    <w:rsid w:val="005F4BB9"/>
    <w:rsid w:val="005F69CF"/>
    <w:rsid w:val="0060545A"/>
    <w:rsid w:val="006107D6"/>
    <w:rsid w:val="0062023D"/>
    <w:rsid w:val="006274FE"/>
    <w:rsid w:val="00630DD3"/>
    <w:rsid w:val="006333BA"/>
    <w:rsid w:val="0064654C"/>
    <w:rsid w:val="006475B6"/>
    <w:rsid w:val="00647BFE"/>
    <w:rsid w:val="00647DC7"/>
    <w:rsid w:val="006501F0"/>
    <w:rsid w:val="00650B52"/>
    <w:rsid w:val="006542E2"/>
    <w:rsid w:val="00655B91"/>
    <w:rsid w:val="00655EAD"/>
    <w:rsid w:val="00656FFE"/>
    <w:rsid w:val="0065788A"/>
    <w:rsid w:val="0066260E"/>
    <w:rsid w:val="00663198"/>
    <w:rsid w:val="00663773"/>
    <w:rsid w:val="006704A2"/>
    <w:rsid w:val="00674719"/>
    <w:rsid w:val="006775CF"/>
    <w:rsid w:val="00686AE2"/>
    <w:rsid w:val="00693942"/>
    <w:rsid w:val="006B246B"/>
    <w:rsid w:val="006B7C75"/>
    <w:rsid w:val="006C0F67"/>
    <w:rsid w:val="006E49E4"/>
    <w:rsid w:val="006E4C33"/>
    <w:rsid w:val="006E725D"/>
    <w:rsid w:val="006F0D52"/>
    <w:rsid w:val="006F11D2"/>
    <w:rsid w:val="006F51A5"/>
    <w:rsid w:val="006F5561"/>
    <w:rsid w:val="006F5829"/>
    <w:rsid w:val="00703E59"/>
    <w:rsid w:val="007068A4"/>
    <w:rsid w:val="00707FEC"/>
    <w:rsid w:val="007112A5"/>
    <w:rsid w:val="007245E6"/>
    <w:rsid w:val="00744AE7"/>
    <w:rsid w:val="00750DF8"/>
    <w:rsid w:val="0075252C"/>
    <w:rsid w:val="00757144"/>
    <w:rsid w:val="00776CE8"/>
    <w:rsid w:val="00783A4C"/>
    <w:rsid w:val="00784F8F"/>
    <w:rsid w:val="00785A86"/>
    <w:rsid w:val="00786F3C"/>
    <w:rsid w:val="007873B5"/>
    <w:rsid w:val="007A0949"/>
    <w:rsid w:val="007A6188"/>
    <w:rsid w:val="007A6524"/>
    <w:rsid w:val="007C2673"/>
    <w:rsid w:val="007D0959"/>
    <w:rsid w:val="007D4B6A"/>
    <w:rsid w:val="007E7C74"/>
    <w:rsid w:val="007F386C"/>
    <w:rsid w:val="007F6818"/>
    <w:rsid w:val="00800B4E"/>
    <w:rsid w:val="0080466C"/>
    <w:rsid w:val="008078F5"/>
    <w:rsid w:val="008112E8"/>
    <w:rsid w:val="008123CD"/>
    <w:rsid w:val="008135B3"/>
    <w:rsid w:val="00825811"/>
    <w:rsid w:val="00831F76"/>
    <w:rsid w:val="008379AF"/>
    <w:rsid w:val="0084457A"/>
    <w:rsid w:val="00851416"/>
    <w:rsid w:val="0085398B"/>
    <w:rsid w:val="008651F8"/>
    <w:rsid w:val="00892DD4"/>
    <w:rsid w:val="008A3290"/>
    <w:rsid w:val="008B201C"/>
    <w:rsid w:val="008B6DCE"/>
    <w:rsid w:val="008C0F28"/>
    <w:rsid w:val="008D028C"/>
    <w:rsid w:val="008E1147"/>
    <w:rsid w:val="008E54C0"/>
    <w:rsid w:val="008F10CC"/>
    <w:rsid w:val="008F1359"/>
    <w:rsid w:val="008F71C4"/>
    <w:rsid w:val="00900534"/>
    <w:rsid w:val="00905DE0"/>
    <w:rsid w:val="00911F37"/>
    <w:rsid w:val="00914D99"/>
    <w:rsid w:val="00917147"/>
    <w:rsid w:val="009239DE"/>
    <w:rsid w:val="00923A4F"/>
    <w:rsid w:val="00924685"/>
    <w:rsid w:val="00926A22"/>
    <w:rsid w:val="00930D51"/>
    <w:rsid w:val="00936886"/>
    <w:rsid w:val="00953972"/>
    <w:rsid w:val="00957F14"/>
    <w:rsid w:val="00963FDF"/>
    <w:rsid w:val="00972A2A"/>
    <w:rsid w:val="00976B86"/>
    <w:rsid w:val="00992C9F"/>
    <w:rsid w:val="00997962"/>
    <w:rsid w:val="009E3E10"/>
    <w:rsid w:val="009F0EDF"/>
    <w:rsid w:val="009F1DF9"/>
    <w:rsid w:val="009F5697"/>
    <w:rsid w:val="009F60D1"/>
    <w:rsid w:val="00A02731"/>
    <w:rsid w:val="00A07CDE"/>
    <w:rsid w:val="00A1705B"/>
    <w:rsid w:val="00A20A08"/>
    <w:rsid w:val="00A24B6F"/>
    <w:rsid w:val="00A2723D"/>
    <w:rsid w:val="00A27C9E"/>
    <w:rsid w:val="00A34B0D"/>
    <w:rsid w:val="00A40F48"/>
    <w:rsid w:val="00A43C2A"/>
    <w:rsid w:val="00A47180"/>
    <w:rsid w:val="00A56014"/>
    <w:rsid w:val="00A63AC3"/>
    <w:rsid w:val="00A7284F"/>
    <w:rsid w:val="00A75529"/>
    <w:rsid w:val="00A75E22"/>
    <w:rsid w:val="00A818CD"/>
    <w:rsid w:val="00AB4DD6"/>
    <w:rsid w:val="00AC207C"/>
    <w:rsid w:val="00AC518D"/>
    <w:rsid w:val="00AC7F40"/>
    <w:rsid w:val="00AD1B80"/>
    <w:rsid w:val="00AE096D"/>
    <w:rsid w:val="00AE79E1"/>
    <w:rsid w:val="00AF2021"/>
    <w:rsid w:val="00B02641"/>
    <w:rsid w:val="00B068AF"/>
    <w:rsid w:val="00B1072E"/>
    <w:rsid w:val="00B11964"/>
    <w:rsid w:val="00B14A52"/>
    <w:rsid w:val="00B22677"/>
    <w:rsid w:val="00B23C1B"/>
    <w:rsid w:val="00B25A39"/>
    <w:rsid w:val="00B33213"/>
    <w:rsid w:val="00B40899"/>
    <w:rsid w:val="00B40F89"/>
    <w:rsid w:val="00B464B9"/>
    <w:rsid w:val="00B50C08"/>
    <w:rsid w:val="00B57A6C"/>
    <w:rsid w:val="00B66787"/>
    <w:rsid w:val="00B71B14"/>
    <w:rsid w:val="00B762C8"/>
    <w:rsid w:val="00B86EA6"/>
    <w:rsid w:val="00B91176"/>
    <w:rsid w:val="00BA2447"/>
    <w:rsid w:val="00BA2BF0"/>
    <w:rsid w:val="00BB3007"/>
    <w:rsid w:val="00BB4606"/>
    <w:rsid w:val="00BD04C3"/>
    <w:rsid w:val="00BD62FE"/>
    <w:rsid w:val="00BD65EA"/>
    <w:rsid w:val="00BF3469"/>
    <w:rsid w:val="00C03565"/>
    <w:rsid w:val="00C10F7F"/>
    <w:rsid w:val="00C13B4D"/>
    <w:rsid w:val="00C17D32"/>
    <w:rsid w:val="00C31E07"/>
    <w:rsid w:val="00C345F7"/>
    <w:rsid w:val="00C41323"/>
    <w:rsid w:val="00C60152"/>
    <w:rsid w:val="00C74ED4"/>
    <w:rsid w:val="00C76620"/>
    <w:rsid w:val="00C87BA6"/>
    <w:rsid w:val="00CA1BE6"/>
    <w:rsid w:val="00CA2998"/>
    <w:rsid w:val="00CA49B0"/>
    <w:rsid w:val="00CC19D3"/>
    <w:rsid w:val="00CD1BB3"/>
    <w:rsid w:val="00CD5267"/>
    <w:rsid w:val="00CE31FA"/>
    <w:rsid w:val="00CF4E65"/>
    <w:rsid w:val="00D01A0D"/>
    <w:rsid w:val="00D029AD"/>
    <w:rsid w:val="00D04744"/>
    <w:rsid w:val="00D053A9"/>
    <w:rsid w:val="00D10BFB"/>
    <w:rsid w:val="00D1536B"/>
    <w:rsid w:val="00D265AD"/>
    <w:rsid w:val="00D3276B"/>
    <w:rsid w:val="00D331FB"/>
    <w:rsid w:val="00D35474"/>
    <w:rsid w:val="00D44737"/>
    <w:rsid w:val="00D44EAC"/>
    <w:rsid w:val="00D54411"/>
    <w:rsid w:val="00D54921"/>
    <w:rsid w:val="00D56D58"/>
    <w:rsid w:val="00D668EC"/>
    <w:rsid w:val="00D70894"/>
    <w:rsid w:val="00D77070"/>
    <w:rsid w:val="00D86467"/>
    <w:rsid w:val="00D9324E"/>
    <w:rsid w:val="00D944CD"/>
    <w:rsid w:val="00D96396"/>
    <w:rsid w:val="00DA1441"/>
    <w:rsid w:val="00DA6F2F"/>
    <w:rsid w:val="00DA7D49"/>
    <w:rsid w:val="00DB2D7F"/>
    <w:rsid w:val="00DC5353"/>
    <w:rsid w:val="00DD0AAA"/>
    <w:rsid w:val="00DE090B"/>
    <w:rsid w:val="00DE205C"/>
    <w:rsid w:val="00DE21B5"/>
    <w:rsid w:val="00DE4270"/>
    <w:rsid w:val="00DE5CDB"/>
    <w:rsid w:val="00E038D7"/>
    <w:rsid w:val="00E0525E"/>
    <w:rsid w:val="00E1021B"/>
    <w:rsid w:val="00E17AC4"/>
    <w:rsid w:val="00E40BA3"/>
    <w:rsid w:val="00E45F43"/>
    <w:rsid w:val="00E510EC"/>
    <w:rsid w:val="00E73F27"/>
    <w:rsid w:val="00E80382"/>
    <w:rsid w:val="00E815F4"/>
    <w:rsid w:val="00E8443D"/>
    <w:rsid w:val="00E8453C"/>
    <w:rsid w:val="00E847A7"/>
    <w:rsid w:val="00E96DFF"/>
    <w:rsid w:val="00E978FC"/>
    <w:rsid w:val="00EB13C4"/>
    <w:rsid w:val="00EC1FC9"/>
    <w:rsid w:val="00ED329F"/>
    <w:rsid w:val="00ED37B1"/>
    <w:rsid w:val="00EF0C40"/>
    <w:rsid w:val="00EF5C66"/>
    <w:rsid w:val="00F02302"/>
    <w:rsid w:val="00F130CD"/>
    <w:rsid w:val="00F20A79"/>
    <w:rsid w:val="00F22ECF"/>
    <w:rsid w:val="00F2533E"/>
    <w:rsid w:val="00F30662"/>
    <w:rsid w:val="00F41283"/>
    <w:rsid w:val="00F43D2A"/>
    <w:rsid w:val="00F468BF"/>
    <w:rsid w:val="00F531AA"/>
    <w:rsid w:val="00F74FF0"/>
    <w:rsid w:val="00F75385"/>
    <w:rsid w:val="00F80AA6"/>
    <w:rsid w:val="00F835DA"/>
    <w:rsid w:val="00F8735E"/>
    <w:rsid w:val="00F909F7"/>
    <w:rsid w:val="00FC07E4"/>
    <w:rsid w:val="00FC3EEE"/>
    <w:rsid w:val="00FC4AB1"/>
    <w:rsid w:val="00FC752B"/>
    <w:rsid w:val="00FD01DC"/>
    <w:rsid w:val="00FD3934"/>
    <w:rsid w:val="00FD6F3A"/>
    <w:rsid w:val="00FD7B17"/>
    <w:rsid w:val="00FE0EDC"/>
    <w:rsid w:val="00FF6BE5"/>
    <w:rsid w:val="3BDCFE98"/>
    <w:rsid w:val="5575C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E07E0"/>
  <w15:chartTrackingRefBased/>
  <w15:docId w15:val="{3854D346-E01C-4BEB-A1CC-B1B0DFA0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3A4F"/>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48222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bidi="en-US"/>
    </w:rPr>
  </w:style>
  <w:style w:type="paragraph" w:styleId="Heading3">
    <w:name w:val="heading 3"/>
    <w:basedOn w:val="Normal"/>
    <w:next w:val="Normal"/>
    <w:link w:val="Heading3Char"/>
    <w:uiPriority w:val="9"/>
    <w:semiHidden/>
    <w:unhideWhenUsed/>
    <w:qFormat/>
    <w:rsid w:val="00FC4A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62FE"/>
    <w:rPr>
      <w:b/>
      <w:bCs/>
    </w:rPr>
  </w:style>
  <w:style w:type="character" w:customStyle="1" w:styleId="apple-converted-space">
    <w:name w:val="apple-converted-space"/>
    <w:basedOn w:val="DefaultParagraphFont"/>
    <w:rsid w:val="00BD62FE"/>
  </w:style>
  <w:style w:type="paragraph" w:styleId="ListParagraph">
    <w:name w:val="List Paragraph"/>
    <w:basedOn w:val="Normal"/>
    <w:uiPriority w:val="34"/>
    <w:qFormat/>
    <w:rsid w:val="00BD62FE"/>
    <w:pPr>
      <w:ind w:left="720"/>
      <w:contextualSpacing/>
    </w:pPr>
  </w:style>
  <w:style w:type="character" w:styleId="Hyperlink">
    <w:name w:val="Hyperlink"/>
    <w:basedOn w:val="DefaultParagraphFont"/>
    <w:uiPriority w:val="99"/>
    <w:unhideWhenUsed/>
    <w:rsid w:val="00BD62FE"/>
    <w:rPr>
      <w:color w:val="0563C1" w:themeColor="hyperlink"/>
      <w:u w:val="single"/>
    </w:rPr>
  </w:style>
  <w:style w:type="character" w:styleId="CommentReference">
    <w:name w:val="annotation reference"/>
    <w:basedOn w:val="DefaultParagraphFont"/>
    <w:uiPriority w:val="99"/>
    <w:semiHidden/>
    <w:unhideWhenUsed/>
    <w:rsid w:val="00BD62FE"/>
    <w:rPr>
      <w:sz w:val="16"/>
      <w:szCs w:val="16"/>
    </w:rPr>
  </w:style>
  <w:style w:type="paragraph" w:styleId="CommentText">
    <w:name w:val="annotation text"/>
    <w:basedOn w:val="Normal"/>
    <w:link w:val="CommentTextChar"/>
    <w:uiPriority w:val="99"/>
    <w:semiHidden/>
    <w:unhideWhenUsed/>
    <w:rsid w:val="00BD62FE"/>
    <w:pPr>
      <w:spacing w:line="240" w:lineRule="auto"/>
    </w:pPr>
    <w:rPr>
      <w:sz w:val="20"/>
      <w:szCs w:val="20"/>
    </w:rPr>
  </w:style>
  <w:style w:type="character" w:customStyle="1" w:styleId="CommentTextChar">
    <w:name w:val="Comment Text Char"/>
    <w:basedOn w:val="DefaultParagraphFont"/>
    <w:link w:val="CommentText"/>
    <w:uiPriority w:val="99"/>
    <w:semiHidden/>
    <w:rsid w:val="00BD62FE"/>
    <w:rPr>
      <w:sz w:val="20"/>
      <w:szCs w:val="20"/>
    </w:rPr>
  </w:style>
  <w:style w:type="paragraph" w:styleId="CommentSubject">
    <w:name w:val="annotation subject"/>
    <w:basedOn w:val="CommentText"/>
    <w:next w:val="CommentText"/>
    <w:link w:val="CommentSubjectChar"/>
    <w:uiPriority w:val="99"/>
    <w:semiHidden/>
    <w:unhideWhenUsed/>
    <w:rsid w:val="00BD62FE"/>
    <w:rPr>
      <w:b/>
      <w:bCs/>
    </w:rPr>
  </w:style>
  <w:style w:type="character" w:customStyle="1" w:styleId="CommentSubjectChar">
    <w:name w:val="Comment Subject Char"/>
    <w:basedOn w:val="CommentTextChar"/>
    <w:link w:val="CommentSubject"/>
    <w:uiPriority w:val="99"/>
    <w:semiHidden/>
    <w:rsid w:val="00BD62FE"/>
    <w:rPr>
      <w:b/>
      <w:bCs/>
      <w:sz w:val="20"/>
      <w:szCs w:val="20"/>
    </w:rPr>
  </w:style>
  <w:style w:type="paragraph" w:styleId="BalloonText">
    <w:name w:val="Balloon Text"/>
    <w:basedOn w:val="Normal"/>
    <w:link w:val="BalloonTextChar"/>
    <w:uiPriority w:val="99"/>
    <w:semiHidden/>
    <w:unhideWhenUsed/>
    <w:rsid w:val="00BD6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2FE"/>
    <w:rPr>
      <w:rFonts w:ascii="Segoe UI" w:hAnsi="Segoe UI" w:cs="Segoe UI"/>
      <w:sz w:val="18"/>
      <w:szCs w:val="18"/>
    </w:rPr>
  </w:style>
  <w:style w:type="paragraph" w:styleId="NoSpacing">
    <w:name w:val="No Spacing"/>
    <w:link w:val="NoSpacingChar"/>
    <w:uiPriority w:val="1"/>
    <w:qFormat/>
    <w:rsid w:val="00650B52"/>
    <w:pPr>
      <w:spacing w:after="0" w:line="240" w:lineRule="auto"/>
    </w:pPr>
    <w:rPr>
      <w:rFonts w:ascii="Liberation Sans" w:hAnsi="Liberation Sans"/>
      <w:sz w:val="24"/>
    </w:rPr>
  </w:style>
  <w:style w:type="paragraph" w:styleId="NormalWeb">
    <w:name w:val="Normal (Web)"/>
    <w:basedOn w:val="Normal"/>
    <w:uiPriority w:val="99"/>
    <w:unhideWhenUsed/>
    <w:rsid w:val="00650B5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E31FA"/>
    <w:rPr>
      <w:color w:val="954F72" w:themeColor="followedHyperlink"/>
      <w:u w:val="single"/>
    </w:rPr>
  </w:style>
  <w:style w:type="character" w:styleId="Emphasis">
    <w:name w:val="Emphasis"/>
    <w:basedOn w:val="DefaultParagraphFont"/>
    <w:uiPriority w:val="20"/>
    <w:qFormat/>
    <w:rsid w:val="0023058A"/>
    <w:rPr>
      <w:i/>
      <w:iCs/>
    </w:rPr>
  </w:style>
  <w:style w:type="paragraph" w:styleId="Header">
    <w:name w:val="header"/>
    <w:basedOn w:val="Normal"/>
    <w:link w:val="HeaderChar"/>
    <w:uiPriority w:val="99"/>
    <w:unhideWhenUsed/>
    <w:rsid w:val="008F1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359"/>
  </w:style>
  <w:style w:type="paragraph" w:styleId="Footer">
    <w:name w:val="footer"/>
    <w:basedOn w:val="Normal"/>
    <w:link w:val="FooterChar"/>
    <w:uiPriority w:val="99"/>
    <w:unhideWhenUsed/>
    <w:rsid w:val="008F1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359"/>
  </w:style>
  <w:style w:type="character" w:styleId="Mention">
    <w:name w:val="Mention"/>
    <w:basedOn w:val="DefaultParagraphFont"/>
    <w:uiPriority w:val="99"/>
    <w:semiHidden/>
    <w:unhideWhenUsed/>
    <w:rsid w:val="00287CC9"/>
    <w:rPr>
      <w:color w:val="2B579A"/>
      <w:shd w:val="clear" w:color="auto" w:fill="E6E6E6"/>
    </w:rPr>
  </w:style>
  <w:style w:type="character" w:customStyle="1" w:styleId="Heading1Char">
    <w:name w:val="Heading 1 Char"/>
    <w:basedOn w:val="DefaultParagraphFont"/>
    <w:link w:val="Heading1"/>
    <w:uiPriority w:val="9"/>
    <w:rsid w:val="00923A4F"/>
    <w:rPr>
      <w:rFonts w:ascii="Cambria" w:eastAsia="Times New Roman" w:hAnsi="Cambria" w:cs="Times New Roman"/>
      <w:b/>
      <w:bCs/>
      <w:kern w:val="32"/>
      <w:sz w:val="32"/>
      <w:szCs w:val="32"/>
    </w:rPr>
  </w:style>
  <w:style w:type="paragraph" w:customStyle="1" w:styleId="NoSpacing2">
    <w:name w:val="No Spacing2"/>
    <w:basedOn w:val="Normal"/>
    <w:uiPriority w:val="1"/>
    <w:qFormat/>
    <w:rsid w:val="00923A4F"/>
    <w:pPr>
      <w:spacing w:after="0" w:line="240" w:lineRule="auto"/>
    </w:pPr>
    <w:rPr>
      <w:rFonts w:ascii="Calibri" w:eastAsia="Times New Roman" w:hAnsi="Calibri" w:cs="Times New Roman"/>
      <w:sz w:val="24"/>
      <w:szCs w:val="32"/>
      <w:lang w:bidi="en-US"/>
    </w:rPr>
  </w:style>
  <w:style w:type="character" w:customStyle="1" w:styleId="Heading2Char">
    <w:name w:val="Heading 2 Char"/>
    <w:basedOn w:val="DefaultParagraphFont"/>
    <w:link w:val="Heading2"/>
    <w:uiPriority w:val="9"/>
    <w:rsid w:val="0048222C"/>
    <w:rPr>
      <w:rFonts w:asciiTheme="majorHAnsi" w:eastAsiaTheme="majorEastAsia" w:hAnsiTheme="majorHAnsi" w:cstheme="majorBidi"/>
      <w:color w:val="2E74B5" w:themeColor="accent1" w:themeShade="BF"/>
      <w:sz w:val="26"/>
      <w:szCs w:val="26"/>
      <w:lang w:bidi="en-US"/>
    </w:rPr>
  </w:style>
  <w:style w:type="paragraph" w:customStyle="1" w:styleId="gdp">
    <w:name w:val="gd_p"/>
    <w:basedOn w:val="Normal"/>
    <w:rsid w:val="0048222C"/>
    <w:pPr>
      <w:spacing w:before="100" w:beforeAutospacing="1" w:after="100" w:afterAutospacing="1" w:line="240" w:lineRule="auto"/>
    </w:pPr>
    <w:rPr>
      <w:rFonts w:ascii="Times New Roman" w:hAnsi="Times New Roman" w:cs="Times New Roman"/>
      <w:sz w:val="24"/>
      <w:szCs w:val="24"/>
    </w:rPr>
  </w:style>
  <w:style w:type="character" w:customStyle="1" w:styleId="NoSpacingChar">
    <w:name w:val="No Spacing Char"/>
    <w:basedOn w:val="DefaultParagraphFont"/>
    <w:link w:val="NoSpacing"/>
    <w:uiPriority w:val="1"/>
    <w:rsid w:val="008B6DCE"/>
    <w:rPr>
      <w:rFonts w:ascii="Liberation Sans" w:hAnsi="Liberation Sans"/>
      <w:sz w:val="24"/>
    </w:rPr>
  </w:style>
  <w:style w:type="paragraph" w:styleId="PlainText">
    <w:name w:val="Plain Text"/>
    <w:basedOn w:val="Normal"/>
    <w:link w:val="PlainTextChar"/>
    <w:uiPriority w:val="99"/>
    <w:unhideWhenUsed/>
    <w:rsid w:val="008B6DCE"/>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B6DCE"/>
    <w:rPr>
      <w:rFonts w:ascii="Consolas" w:eastAsia="Calibri" w:hAnsi="Consolas" w:cs="Times New Roman"/>
      <w:sz w:val="21"/>
      <w:szCs w:val="21"/>
    </w:rPr>
  </w:style>
  <w:style w:type="paragraph" w:customStyle="1" w:styleId="Default">
    <w:name w:val="Default"/>
    <w:rsid w:val="008B6DCE"/>
    <w:pPr>
      <w:autoSpaceDE w:val="0"/>
      <w:autoSpaceDN w:val="0"/>
      <w:adjustRightInd w:val="0"/>
      <w:spacing w:after="0" w:line="240" w:lineRule="auto"/>
    </w:pPr>
    <w:rPr>
      <w:rFonts w:ascii="Symbol" w:hAnsi="Symbol" w:cs="Symbol"/>
      <w:color w:val="000000"/>
      <w:sz w:val="24"/>
      <w:szCs w:val="24"/>
    </w:rPr>
  </w:style>
  <w:style w:type="paragraph" w:customStyle="1" w:styleId="ydp2743a71cyiv7148563013msonormal">
    <w:name w:val="ydp2743a71cyiv7148563013msonormal"/>
    <w:basedOn w:val="Normal"/>
    <w:rsid w:val="00A43C2A"/>
    <w:pPr>
      <w:spacing w:before="100" w:beforeAutospacing="1" w:after="100" w:afterAutospacing="1" w:line="240" w:lineRule="auto"/>
    </w:pPr>
    <w:rPr>
      <w:rFonts w:ascii="Times New Roman" w:hAnsi="Times New Roman" w:cs="Times New Roman"/>
      <w:sz w:val="24"/>
      <w:szCs w:val="24"/>
    </w:rPr>
  </w:style>
  <w:style w:type="paragraph" w:customStyle="1" w:styleId="ydp2743a71cmsonormal">
    <w:name w:val="ydp2743a71cmsonormal"/>
    <w:basedOn w:val="Normal"/>
    <w:rsid w:val="00A43C2A"/>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FC4AB1"/>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AC518D"/>
    <w:rPr>
      <w:color w:val="808080"/>
      <w:shd w:val="clear" w:color="auto" w:fill="E6E6E6"/>
    </w:rPr>
  </w:style>
  <w:style w:type="character" w:customStyle="1" w:styleId="meta-cats">
    <w:name w:val="meta-cats"/>
    <w:basedOn w:val="DefaultParagraphFont"/>
    <w:rsid w:val="002802CC"/>
  </w:style>
  <w:style w:type="character" w:customStyle="1" w:styleId="meta-date">
    <w:name w:val="meta-date"/>
    <w:basedOn w:val="DefaultParagraphFont"/>
    <w:rsid w:val="002802CC"/>
  </w:style>
  <w:style w:type="character" w:customStyle="1" w:styleId="meta-comments">
    <w:name w:val="meta-comments"/>
    <w:basedOn w:val="DefaultParagraphFont"/>
    <w:rsid w:val="002802CC"/>
  </w:style>
  <w:style w:type="character" w:customStyle="1" w:styleId="a2alabel">
    <w:name w:val="a2a_label"/>
    <w:basedOn w:val="DefaultParagraphFont"/>
    <w:rsid w:val="00E40BA3"/>
  </w:style>
  <w:style w:type="paragraph" w:customStyle="1" w:styleId="xmsonormal">
    <w:name w:val="x_msonormal"/>
    <w:basedOn w:val="Normal"/>
    <w:uiPriority w:val="99"/>
    <w:semiHidden/>
    <w:rsid w:val="00110A6C"/>
    <w:pPr>
      <w:spacing w:after="0" w:line="240" w:lineRule="auto"/>
    </w:pPr>
    <w:rPr>
      <w:rFonts w:ascii="Calibri" w:hAnsi="Calibri" w:cs="Calibri"/>
    </w:rPr>
  </w:style>
  <w:style w:type="paragraph" w:customStyle="1" w:styleId="xxparagraph">
    <w:name w:val="x_xparagraph"/>
    <w:basedOn w:val="Normal"/>
    <w:uiPriority w:val="99"/>
    <w:semiHidden/>
    <w:rsid w:val="00110A6C"/>
    <w:pPr>
      <w:spacing w:after="0" w:line="240" w:lineRule="auto"/>
    </w:pPr>
    <w:rPr>
      <w:rFonts w:ascii="Calibri" w:hAnsi="Calibri" w:cs="Calibri"/>
    </w:rPr>
  </w:style>
  <w:style w:type="paragraph" w:customStyle="1" w:styleId="postmetadata">
    <w:name w:val="postmetadata"/>
    <w:basedOn w:val="Normal"/>
    <w:rsid w:val="006501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6501F0"/>
  </w:style>
  <w:style w:type="character" w:customStyle="1" w:styleId="author">
    <w:name w:val="author"/>
    <w:basedOn w:val="DefaultParagraphFont"/>
    <w:rsid w:val="006501F0"/>
  </w:style>
  <w:style w:type="character" w:customStyle="1" w:styleId="commentcount">
    <w:name w:val="commentcount"/>
    <w:basedOn w:val="DefaultParagraphFont"/>
    <w:rsid w:val="00650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0734">
      <w:bodyDiv w:val="1"/>
      <w:marLeft w:val="0"/>
      <w:marRight w:val="0"/>
      <w:marTop w:val="0"/>
      <w:marBottom w:val="0"/>
      <w:divBdr>
        <w:top w:val="none" w:sz="0" w:space="0" w:color="auto"/>
        <w:left w:val="none" w:sz="0" w:space="0" w:color="auto"/>
        <w:bottom w:val="none" w:sz="0" w:space="0" w:color="auto"/>
        <w:right w:val="none" w:sz="0" w:space="0" w:color="auto"/>
      </w:divBdr>
    </w:div>
    <w:div w:id="65694348">
      <w:bodyDiv w:val="1"/>
      <w:marLeft w:val="0"/>
      <w:marRight w:val="0"/>
      <w:marTop w:val="0"/>
      <w:marBottom w:val="0"/>
      <w:divBdr>
        <w:top w:val="none" w:sz="0" w:space="0" w:color="auto"/>
        <w:left w:val="none" w:sz="0" w:space="0" w:color="auto"/>
        <w:bottom w:val="none" w:sz="0" w:space="0" w:color="auto"/>
        <w:right w:val="none" w:sz="0" w:space="0" w:color="auto"/>
      </w:divBdr>
      <w:divsChild>
        <w:div w:id="2003776819">
          <w:marLeft w:val="0"/>
          <w:marRight w:val="0"/>
          <w:marTop w:val="0"/>
          <w:marBottom w:val="0"/>
          <w:divBdr>
            <w:top w:val="none" w:sz="0" w:space="0" w:color="auto"/>
            <w:left w:val="none" w:sz="0" w:space="0" w:color="auto"/>
            <w:bottom w:val="none" w:sz="0" w:space="0" w:color="auto"/>
            <w:right w:val="none" w:sz="0" w:space="0" w:color="auto"/>
          </w:divBdr>
          <w:divsChild>
            <w:div w:id="1286499716">
              <w:marLeft w:val="0"/>
              <w:marRight w:val="0"/>
              <w:marTop w:val="0"/>
              <w:marBottom w:val="0"/>
              <w:divBdr>
                <w:top w:val="none" w:sz="0" w:space="0" w:color="auto"/>
                <w:left w:val="none" w:sz="0" w:space="0" w:color="auto"/>
                <w:bottom w:val="none" w:sz="0" w:space="0" w:color="auto"/>
                <w:right w:val="none" w:sz="0" w:space="0" w:color="auto"/>
              </w:divBdr>
            </w:div>
          </w:divsChild>
        </w:div>
        <w:div w:id="1970889808">
          <w:marLeft w:val="0"/>
          <w:marRight w:val="255"/>
          <w:marTop w:val="0"/>
          <w:marBottom w:val="0"/>
          <w:divBdr>
            <w:top w:val="none" w:sz="0" w:space="0" w:color="auto"/>
            <w:left w:val="none" w:sz="0" w:space="0" w:color="auto"/>
            <w:bottom w:val="none" w:sz="0" w:space="0" w:color="auto"/>
            <w:right w:val="none" w:sz="0" w:space="0" w:color="auto"/>
          </w:divBdr>
          <w:divsChild>
            <w:div w:id="1573000844">
              <w:marLeft w:val="0"/>
              <w:marRight w:val="0"/>
              <w:marTop w:val="0"/>
              <w:marBottom w:val="0"/>
              <w:divBdr>
                <w:top w:val="none" w:sz="0" w:space="0" w:color="auto"/>
                <w:left w:val="none" w:sz="0" w:space="0" w:color="auto"/>
                <w:bottom w:val="none" w:sz="0" w:space="0" w:color="auto"/>
                <w:right w:val="none" w:sz="0" w:space="0" w:color="auto"/>
              </w:divBdr>
              <w:divsChild>
                <w:div w:id="712734344">
                  <w:marLeft w:val="0"/>
                  <w:marRight w:val="0"/>
                  <w:marTop w:val="0"/>
                  <w:marBottom w:val="0"/>
                  <w:divBdr>
                    <w:top w:val="none" w:sz="0" w:space="0" w:color="auto"/>
                    <w:left w:val="none" w:sz="0" w:space="0" w:color="auto"/>
                    <w:bottom w:val="none" w:sz="0" w:space="0" w:color="auto"/>
                    <w:right w:val="none" w:sz="0" w:space="0" w:color="auto"/>
                  </w:divBdr>
                  <w:divsChild>
                    <w:div w:id="1970828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44609502">
          <w:marLeft w:val="0"/>
          <w:marRight w:val="0"/>
          <w:marTop w:val="0"/>
          <w:marBottom w:val="0"/>
          <w:divBdr>
            <w:top w:val="none" w:sz="0" w:space="0" w:color="auto"/>
            <w:left w:val="none" w:sz="0" w:space="0" w:color="auto"/>
            <w:bottom w:val="none" w:sz="0" w:space="0" w:color="auto"/>
            <w:right w:val="none" w:sz="0" w:space="0" w:color="auto"/>
          </w:divBdr>
          <w:divsChild>
            <w:div w:id="211624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687">
      <w:bodyDiv w:val="1"/>
      <w:marLeft w:val="0"/>
      <w:marRight w:val="0"/>
      <w:marTop w:val="0"/>
      <w:marBottom w:val="0"/>
      <w:divBdr>
        <w:top w:val="none" w:sz="0" w:space="0" w:color="auto"/>
        <w:left w:val="none" w:sz="0" w:space="0" w:color="auto"/>
        <w:bottom w:val="none" w:sz="0" w:space="0" w:color="auto"/>
        <w:right w:val="none" w:sz="0" w:space="0" w:color="auto"/>
      </w:divBdr>
      <w:divsChild>
        <w:div w:id="1264801107">
          <w:marLeft w:val="0"/>
          <w:marRight w:val="0"/>
          <w:marTop w:val="0"/>
          <w:marBottom w:val="60"/>
          <w:divBdr>
            <w:top w:val="none" w:sz="0" w:space="0" w:color="auto"/>
            <w:left w:val="none" w:sz="0" w:space="0" w:color="auto"/>
            <w:bottom w:val="none" w:sz="0" w:space="0" w:color="auto"/>
            <w:right w:val="none" w:sz="0" w:space="0" w:color="auto"/>
          </w:divBdr>
          <w:divsChild>
            <w:div w:id="1022782380">
              <w:marLeft w:val="-255"/>
              <w:marRight w:val="-255"/>
              <w:marTop w:val="0"/>
              <w:marBottom w:val="0"/>
              <w:divBdr>
                <w:top w:val="none" w:sz="0" w:space="0" w:color="auto"/>
                <w:left w:val="none" w:sz="0" w:space="0" w:color="auto"/>
                <w:bottom w:val="none" w:sz="0" w:space="0" w:color="auto"/>
                <w:right w:val="none" w:sz="0" w:space="0" w:color="auto"/>
              </w:divBdr>
              <w:divsChild>
                <w:div w:id="511575522">
                  <w:marLeft w:val="0"/>
                  <w:marRight w:val="0"/>
                  <w:marTop w:val="0"/>
                  <w:marBottom w:val="0"/>
                  <w:divBdr>
                    <w:top w:val="none" w:sz="0" w:space="0" w:color="auto"/>
                    <w:left w:val="none" w:sz="0" w:space="0" w:color="auto"/>
                    <w:bottom w:val="none" w:sz="0" w:space="0" w:color="auto"/>
                    <w:right w:val="none" w:sz="0" w:space="0" w:color="auto"/>
                  </w:divBdr>
                  <w:divsChild>
                    <w:div w:id="908417917">
                      <w:marLeft w:val="0"/>
                      <w:marRight w:val="0"/>
                      <w:marTop w:val="0"/>
                      <w:marBottom w:val="0"/>
                      <w:divBdr>
                        <w:top w:val="none" w:sz="0" w:space="0" w:color="auto"/>
                        <w:left w:val="none" w:sz="0" w:space="0" w:color="auto"/>
                        <w:bottom w:val="none" w:sz="0" w:space="0" w:color="auto"/>
                        <w:right w:val="none" w:sz="0" w:space="0" w:color="auto"/>
                      </w:divBdr>
                      <w:divsChild>
                        <w:div w:id="687679702">
                          <w:marLeft w:val="0"/>
                          <w:marRight w:val="0"/>
                          <w:marTop w:val="0"/>
                          <w:marBottom w:val="0"/>
                          <w:divBdr>
                            <w:top w:val="none" w:sz="0" w:space="0" w:color="auto"/>
                            <w:left w:val="none" w:sz="0" w:space="0" w:color="auto"/>
                            <w:bottom w:val="none" w:sz="0" w:space="0" w:color="auto"/>
                            <w:right w:val="none" w:sz="0" w:space="0" w:color="auto"/>
                          </w:divBdr>
                        </w:div>
                      </w:divsChild>
                    </w:div>
                    <w:div w:id="525605643">
                      <w:marLeft w:val="0"/>
                      <w:marRight w:val="0"/>
                      <w:marTop w:val="0"/>
                      <w:marBottom w:val="0"/>
                      <w:divBdr>
                        <w:top w:val="none" w:sz="0" w:space="0" w:color="auto"/>
                        <w:left w:val="none" w:sz="0" w:space="0" w:color="auto"/>
                        <w:bottom w:val="none" w:sz="0" w:space="0" w:color="auto"/>
                        <w:right w:val="none" w:sz="0" w:space="0" w:color="auto"/>
                      </w:divBdr>
                      <w:divsChild>
                        <w:div w:id="1546990970">
                          <w:marLeft w:val="0"/>
                          <w:marRight w:val="0"/>
                          <w:marTop w:val="0"/>
                          <w:marBottom w:val="0"/>
                          <w:divBdr>
                            <w:top w:val="none" w:sz="0" w:space="0" w:color="auto"/>
                            <w:left w:val="none" w:sz="0" w:space="0" w:color="auto"/>
                            <w:bottom w:val="none" w:sz="0" w:space="0" w:color="auto"/>
                            <w:right w:val="none" w:sz="0" w:space="0" w:color="auto"/>
                          </w:divBdr>
                        </w:div>
                      </w:divsChild>
                    </w:div>
                    <w:div w:id="1708724886">
                      <w:marLeft w:val="0"/>
                      <w:marRight w:val="255"/>
                      <w:marTop w:val="0"/>
                      <w:marBottom w:val="0"/>
                      <w:divBdr>
                        <w:top w:val="none" w:sz="0" w:space="0" w:color="auto"/>
                        <w:left w:val="none" w:sz="0" w:space="0" w:color="auto"/>
                        <w:bottom w:val="none" w:sz="0" w:space="0" w:color="auto"/>
                        <w:right w:val="none" w:sz="0" w:space="0" w:color="auto"/>
                      </w:divBdr>
                      <w:divsChild>
                        <w:div w:id="468016107">
                          <w:marLeft w:val="0"/>
                          <w:marRight w:val="0"/>
                          <w:marTop w:val="0"/>
                          <w:marBottom w:val="0"/>
                          <w:divBdr>
                            <w:top w:val="none" w:sz="0" w:space="0" w:color="auto"/>
                            <w:left w:val="none" w:sz="0" w:space="0" w:color="auto"/>
                            <w:bottom w:val="none" w:sz="0" w:space="0" w:color="auto"/>
                            <w:right w:val="none" w:sz="0" w:space="0" w:color="auto"/>
                          </w:divBdr>
                          <w:divsChild>
                            <w:div w:id="405417217">
                              <w:marLeft w:val="0"/>
                              <w:marRight w:val="0"/>
                              <w:marTop w:val="0"/>
                              <w:marBottom w:val="0"/>
                              <w:divBdr>
                                <w:top w:val="none" w:sz="0" w:space="0" w:color="auto"/>
                                <w:left w:val="none" w:sz="0" w:space="0" w:color="auto"/>
                                <w:bottom w:val="none" w:sz="0" w:space="0" w:color="auto"/>
                                <w:right w:val="none" w:sz="0" w:space="0" w:color="auto"/>
                              </w:divBdr>
                              <w:divsChild>
                                <w:div w:id="2799941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74193146">
                      <w:marLeft w:val="0"/>
                      <w:marRight w:val="0"/>
                      <w:marTop w:val="0"/>
                      <w:marBottom w:val="0"/>
                      <w:divBdr>
                        <w:top w:val="none" w:sz="0" w:space="0" w:color="auto"/>
                        <w:left w:val="none" w:sz="0" w:space="0" w:color="auto"/>
                        <w:bottom w:val="none" w:sz="0" w:space="0" w:color="auto"/>
                        <w:right w:val="none" w:sz="0" w:space="0" w:color="auto"/>
                      </w:divBdr>
                      <w:divsChild>
                        <w:div w:id="515770807">
                          <w:marLeft w:val="0"/>
                          <w:marRight w:val="0"/>
                          <w:marTop w:val="0"/>
                          <w:marBottom w:val="0"/>
                          <w:divBdr>
                            <w:top w:val="none" w:sz="0" w:space="0" w:color="auto"/>
                            <w:left w:val="none" w:sz="0" w:space="0" w:color="auto"/>
                            <w:bottom w:val="none" w:sz="0" w:space="0" w:color="auto"/>
                            <w:right w:val="none" w:sz="0" w:space="0" w:color="auto"/>
                          </w:divBdr>
                        </w:div>
                      </w:divsChild>
                    </w:div>
                    <w:div w:id="10885683">
                      <w:marLeft w:val="0"/>
                      <w:marRight w:val="0"/>
                      <w:marTop w:val="0"/>
                      <w:marBottom w:val="0"/>
                      <w:divBdr>
                        <w:top w:val="none" w:sz="0" w:space="0" w:color="auto"/>
                        <w:left w:val="none" w:sz="0" w:space="0" w:color="auto"/>
                        <w:bottom w:val="none" w:sz="0" w:space="0" w:color="auto"/>
                        <w:right w:val="none" w:sz="0" w:space="0" w:color="auto"/>
                      </w:divBdr>
                      <w:divsChild>
                        <w:div w:id="605968874">
                          <w:marLeft w:val="0"/>
                          <w:marRight w:val="0"/>
                          <w:marTop w:val="0"/>
                          <w:marBottom w:val="0"/>
                          <w:divBdr>
                            <w:top w:val="none" w:sz="0" w:space="0" w:color="auto"/>
                            <w:left w:val="none" w:sz="0" w:space="0" w:color="auto"/>
                            <w:bottom w:val="none" w:sz="0" w:space="0" w:color="auto"/>
                            <w:right w:val="none" w:sz="0" w:space="0" w:color="auto"/>
                          </w:divBdr>
                        </w:div>
                      </w:divsChild>
                    </w:div>
                    <w:div w:id="429399083">
                      <w:marLeft w:val="0"/>
                      <w:marRight w:val="0"/>
                      <w:marTop w:val="0"/>
                      <w:marBottom w:val="0"/>
                      <w:divBdr>
                        <w:top w:val="none" w:sz="0" w:space="0" w:color="auto"/>
                        <w:left w:val="none" w:sz="0" w:space="0" w:color="auto"/>
                        <w:bottom w:val="none" w:sz="0" w:space="0" w:color="auto"/>
                        <w:right w:val="none" w:sz="0" w:space="0" w:color="auto"/>
                      </w:divBdr>
                      <w:divsChild>
                        <w:div w:id="4004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3407">
      <w:bodyDiv w:val="1"/>
      <w:marLeft w:val="0"/>
      <w:marRight w:val="0"/>
      <w:marTop w:val="0"/>
      <w:marBottom w:val="0"/>
      <w:divBdr>
        <w:top w:val="none" w:sz="0" w:space="0" w:color="auto"/>
        <w:left w:val="none" w:sz="0" w:space="0" w:color="auto"/>
        <w:bottom w:val="none" w:sz="0" w:space="0" w:color="auto"/>
        <w:right w:val="none" w:sz="0" w:space="0" w:color="auto"/>
      </w:divBdr>
    </w:div>
    <w:div w:id="174534815">
      <w:bodyDiv w:val="1"/>
      <w:marLeft w:val="0"/>
      <w:marRight w:val="0"/>
      <w:marTop w:val="0"/>
      <w:marBottom w:val="0"/>
      <w:divBdr>
        <w:top w:val="none" w:sz="0" w:space="0" w:color="auto"/>
        <w:left w:val="none" w:sz="0" w:space="0" w:color="auto"/>
        <w:bottom w:val="none" w:sz="0" w:space="0" w:color="auto"/>
        <w:right w:val="none" w:sz="0" w:space="0" w:color="auto"/>
      </w:divBdr>
      <w:divsChild>
        <w:div w:id="504519560">
          <w:marLeft w:val="0"/>
          <w:marRight w:val="0"/>
          <w:marTop w:val="0"/>
          <w:marBottom w:val="300"/>
          <w:divBdr>
            <w:top w:val="none" w:sz="0" w:space="0" w:color="auto"/>
            <w:left w:val="none" w:sz="0" w:space="0" w:color="auto"/>
            <w:bottom w:val="dotted" w:sz="6" w:space="5" w:color="DDDDDD"/>
            <w:right w:val="none" w:sz="0" w:space="0" w:color="auto"/>
          </w:divBdr>
        </w:div>
      </w:divsChild>
    </w:div>
    <w:div w:id="191648336">
      <w:bodyDiv w:val="1"/>
      <w:marLeft w:val="0"/>
      <w:marRight w:val="0"/>
      <w:marTop w:val="0"/>
      <w:marBottom w:val="0"/>
      <w:divBdr>
        <w:top w:val="none" w:sz="0" w:space="0" w:color="auto"/>
        <w:left w:val="none" w:sz="0" w:space="0" w:color="auto"/>
        <w:bottom w:val="none" w:sz="0" w:space="0" w:color="auto"/>
        <w:right w:val="none" w:sz="0" w:space="0" w:color="auto"/>
      </w:divBdr>
    </w:div>
    <w:div w:id="241527834">
      <w:bodyDiv w:val="1"/>
      <w:marLeft w:val="0"/>
      <w:marRight w:val="0"/>
      <w:marTop w:val="0"/>
      <w:marBottom w:val="0"/>
      <w:divBdr>
        <w:top w:val="none" w:sz="0" w:space="0" w:color="auto"/>
        <w:left w:val="none" w:sz="0" w:space="0" w:color="auto"/>
        <w:bottom w:val="none" w:sz="0" w:space="0" w:color="auto"/>
        <w:right w:val="none" w:sz="0" w:space="0" w:color="auto"/>
      </w:divBdr>
    </w:div>
    <w:div w:id="247233235">
      <w:bodyDiv w:val="1"/>
      <w:marLeft w:val="0"/>
      <w:marRight w:val="0"/>
      <w:marTop w:val="0"/>
      <w:marBottom w:val="0"/>
      <w:divBdr>
        <w:top w:val="none" w:sz="0" w:space="0" w:color="auto"/>
        <w:left w:val="none" w:sz="0" w:space="0" w:color="auto"/>
        <w:bottom w:val="none" w:sz="0" w:space="0" w:color="auto"/>
        <w:right w:val="none" w:sz="0" w:space="0" w:color="auto"/>
      </w:divBdr>
    </w:div>
    <w:div w:id="288125330">
      <w:bodyDiv w:val="1"/>
      <w:marLeft w:val="0"/>
      <w:marRight w:val="0"/>
      <w:marTop w:val="0"/>
      <w:marBottom w:val="0"/>
      <w:divBdr>
        <w:top w:val="none" w:sz="0" w:space="0" w:color="auto"/>
        <w:left w:val="none" w:sz="0" w:space="0" w:color="auto"/>
        <w:bottom w:val="none" w:sz="0" w:space="0" w:color="auto"/>
        <w:right w:val="none" w:sz="0" w:space="0" w:color="auto"/>
      </w:divBdr>
    </w:div>
    <w:div w:id="303660233">
      <w:bodyDiv w:val="1"/>
      <w:marLeft w:val="0"/>
      <w:marRight w:val="0"/>
      <w:marTop w:val="0"/>
      <w:marBottom w:val="0"/>
      <w:divBdr>
        <w:top w:val="none" w:sz="0" w:space="0" w:color="auto"/>
        <w:left w:val="none" w:sz="0" w:space="0" w:color="auto"/>
        <w:bottom w:val="none" w:sz="0" w:space="0" w:color="auto"/>
        <w:right w:val="none" w:sz="0" w:space="0" w:color="auto"/>
      </w:divBdr>
    </w:div>
    <w:div w:id="306203263">
      <w:bodyDiv w:val="1"/>
      <w:marLeft w:val="0"/>
      <w:marRight w:val="0"/>
      <w:marTop w:val="0"/>
      <w:marBottom w:val="0"/>
      <w:divBdr>
        <w:top w:val="none" w:sz="0" w:space="0" w:color="auto"/>
        <w:left w:val="none" w:sz="0" w:space="0" w:color="auto"/>
        <w:bottom w:val="none" w:sz="0" w:space="0" w:color="auto"/>
        <w:right w:val="none" w:sz="0" w:space="0" w:color="auto"/>
      </w:divBdr>
      <w:divsChild>
        <w:div w:id="517431841">
          <w:marLeft w:val="0"/>
          <w:marRight w:val="0"/>
          <w:marTop w:val="0"/>
          <w:marBottom w:val="0"/>
          <w:divBdr>
            <w:top w:val="none" w:sz="0" w:space="0" w:color="auto"/>
            <w:left w:val="none" w:sz="0" w:space="0" w:color="auto"/>
            <w:bottom w:val="none" w:sz="0" w:space="0" w:color="auto"/>
            <w:right w:val="none" w:sz="0" w:space="0" w:color="auto"/>
          </w:divBdr>
          <w:divsChild>
            <w:div w:id="1083989163">
              <w:marLeft w:val="0"/>
              <w:marRight w:val="0"/>
              <w:marTop w:val="0"/>
              <w:marBottom w:val="0"/>
              <w:divBdr>
                <w:top w:val="none" w:sz="0" w:space="0" w:color="auto"/>
                <w:left w:val="none" w:sz="0" w:space="0" w:color="auto"/>
                <w:bottom w:val="none" w:sz="0" w:space="0" w:color="auto"/>
                <w:right w:val="none" w:sz="0" w:space="0" w:color="auto"/>
              </w:divBdr>
            </w:div>
          </w:divsChild>
        </w:div>
        <w:div w:id="274601418">
          <w:marLeft w:val="0"/>
          <w:marRight w:val="255"/>
          <w:marTop w:val="0"/>
          <w:marBottom w:val="0"/>
          <w:divBdr>
            <w:top w:val="none" w:sz="0" w:space="0" w:color="auto"/>
            <w:left w:val="none" w:sz="0" w:space="0" w:color="auto"/>
            <w:bottom w:val="none" w:sz="0" w:space="0" w:color="auto"/>
            <w:right w:val="none" w:sz="0" w:space="0" w:color="auto"/>
          </w:divBdr>
          <w:divsChild>
            <w:div w:id="1541281414">
              <w:marLeft w:val="0"/>
              <w:marRight w:val="0"/>
              <w:marTop w:val="0"/>
              <w:marBottom w:val="0"/>
              <w:divBdr>
                <w:top w:val="none" w:sz="0" w:space="0" w:color="auto"/>
                <w:left w:val="none" w:sz="0" w:space="0" w:color="auto"/>
                <w:bottom w:val="none" w:sz="0" w:space="0" w:color="auto"/>
                <w:right w:val="none" w:sz="0" w:space="0" w:color="auto"/>
              </w:divBdr>
              <w:divsChild>
                <w:div w:id="1451438259">
                  <w:marLeft w:val="0"/>
                  <w:marRight w:val="0"/>
                  <w:marTop w:val="0"/>
                  <w:marBottom w:val="0"/>
                  <w:divBdr>
                    <w:top w:val="none" w:sz="0" w:space="0" w:color="auto"/>
                    <w:left w:val="none" w:sz="0" w:space="0" w:color="auto"/>
                    <w:bottom w:val="none" w:sz="0" w:space="0" w:color="auto"/>
                    <w:right w:val="none" w:sz="0" w:space="0" w:color="auto"/>
                  </w:divBdr>
                  <w:divsChild>
                    <w:div w:id="10201566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13274312">
          <w:marLeft w:val="0"/>
          <w:marRight w:val="0"/>
          <w:marTop w:val="0"/>
          <w:marBottom w:val="0"/>
          <w:divBdr>
            <w:top w:val="none" w:sz="0" w:space="0" w:color="auto"/>
            <w:left w:val="none" w:sz="0" w:space="0" w:color="auto"/>
            <w:bottom w:val="none" w:sz="0" w:space="0" w:color="auto"/>
            <w:right w:val="none" w:sz="0" w:space="0" w:color="auto"/>
          </w:divBdr>
          <w:divsChild>
            <w:div w:id="16845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1366">
      <w:bodyDiv w:val="1"/>
      <w:marLeft w:val="0"/>
      <w:marRight w:val="0"/>
      <w:marTop w:val="0"/>
      <w:marBottom w:val="0"/>
      <w:divBdr>
        <w:top w:val="none" w:sz="0" w:space="0" w:color="auto"/>
        <w:left w:val="none" w:sz="0" w:space="0" w:color="auto"/>
        <w:bottom w:val="none" w:sz="0" w:space="0" w:color="auto"/>
        <w:right w:val="none" w:sz="0" w:space="0" w:color="auto"/>
      </w:divBdr>
    </w:div>
    <w:div w:id="321933023">
      <w:bodyDiv w:val="1"/>
      <w:marLeft w:val="0"/>
      <w:marRight w:val="0"/>
      <w:marTop w:val="0"/>
      <w:marBottom w:val="0"/>
      <w:divBdr>
        <w:top w:val="none" w:sz="0" w:space="0" w:color="auto"/>
        <w:left w:val="none" w:sz="0" w:space="0" w:color="auto"/>
        <w:bottom w:val="none" w:sz="0" w:space="0" w:color="auto"/>
        <w:right w:val="none" w:sz="0" w:space="0" w:color="auto"/>
      </w:divBdr>
      <w:divsChild>
        <w:div w:id="1500078939">
          <w:marLeft w:val="0"/>
          <w:marRight w:val="0"/>
          <w:marTop w:val="0"/>
          <w:marBottom w:val="0"/>
          <w:divBdr>
            <w:top w:val="none" w:sz="0" w:space="0" w:color="auto"/>
            <w:left w:val="none" w:sz="0" w:space="0" w:color="auto"/>
            <w:bottom w:val="none" w:sz="0" w:space="0" w:color="auto"/>
            <w:right w:val="none" w:sz="0" w:space="0" w:color="auto"/>
          </w:divBdr>
          <w:divsChild>
            <w:div w:id="570315520">
              <w:marLeft w:val="0"/>
              <w:marRight w:val="0"/>
              <w:marTop w:val="0"/>
              <w:marBottom w:val="0"/>
              <w:divBdr>
                <w:top w:val="none" w:sz="0" w:space="0" w:color="auto"/>
                <w:left w:val="none" w:sz="0" w:space="0" w:color="auto"/>
                <w:bottom w:val="none" w:sz="0" w:space="0" w:color="auto"/>
                <w:right w:val="none" w:sz="0" w:space="0" w:color="auto"/>
              </w:divBdr>
            </w:div>
          </w:divsChild>
        </w:div>
        <w:div w:id="349307655">
          <w:marLeft w:val="0"/>
          <w:marRight w:val="0"/>
          <w:marTop w:val="0"/>
          <w:marBottom w:val="0"/>
          <w:divBdr>
            <w:top w:val="none" w:sz="0" w:space="0" w:color="auto"/>
            <w:left w:val="none" w:sz="0" w:space="0" w:color="auto"/>
            <w:bottom w:val="none" w:sz="0" w:space="0" w:color="auto"/>
            <w:right w:val="none" w:sz="0" w:space="0" w:color="auto"/>
          </w:divBdr>
          <w:divsChild>
            <w:div w:id="1184787798">
              <w:marLeft w:val="0"/>
              <w:marRight w:val="0"/>
              <w:marTop w:val="0"/>
              <w:marBottom w:val="0"/>
              <w:divBdr>
                <w:top w:val="none" w:sz="0" w:space="0" w:color="auto"/>
                <w:left w:val="none" w:sz="0" w:space="0" w:color="auto"/>
                <w:bottom w:val="none" w:sz="0" w:space="0" w:color="auto"/>
                <w:right w:val="none" w:sz="0" w:space="0" w:color="auto"/>
              </w:divBdr>
              <w:divsChild>
                <w:div w:id="466899682">
                  <w:marLeft w:val="0"/>
                  <w:marRight w:val="0"/>
                  <w:marTop w:val="0"/>
                  <w:marBottom w:val="0"/>
                  <w:divBdr>
                    <w:top w:val="none" w:sz="0" w:space="0" w:color="auto"/>
                    <w:left w:val="none" w:sz="0" w:space="0" w:color="auto"/>
                    <w:bottom w:val="none" w:sz="0" w:space="0" w:color="auto"/>
                    <w:right w:val="none" w:sz="0" w:space="0" w:color="auto"/>
                  </w:divBdr>
                  <w:divsChild>
                    <w:div w:id="10063216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47465358">
          <w:marLeft w:val="0"/>
          <w:marRight w:val="0"/>
          <w:marTop w:val="0"/>
          <w:marBottom w:val="0"/>
          <w:divBdr>
            <w:top w:val="none" w:sz="0" w:space="0" w:color="auto"/>
            <w:left w:val="none" w:sz="0" w:space="0" w:color="auto"/>
            <w:bottom w:val="none" w:sz="0" w:space="0" w:color="auto"/>
            <w:right w:val="none" w:sz="0" w:space="0" w:color="auto"/>
          </w:divBdr>
          <w:divsChild>
            <w:div w:id="858810954">
              <w:marLeft w:val="0"/>
              <w:marRight w:val="0"/>
              <w:marTop w:val="0"/>
              <w:marBottom w:val="0"/>
              <w:divBdr>
                <w:top w:val="none" w:sz="0" w:space="0" w:color="auto"/>
                <w:left w:val="none" w:sz="0" w:space="0" w:color="auto"/>
                <w:bottom w:val="none" w:sz="0" w:space="0" w:color="auto"/>
                <w:right w:val="none" w:sz="0" w:space="0" w:color="auto"/>
              </w:divBdr>
            </w:div>
          </w:divsChild>
        </w:div>
        <w:div w:id="1375495801">
          <w:marLeft w:val="0"/>
          <w:marRight w:val="0"/>
          <w:marTop w:val="0"/>
          <w:marBottom w:val="0"/>
          <w:divBdr>
            <w:top w:val="none" w:sz="0" w:space="0" w:color="auto"/>
            <w:left w:val="none" w:sz="0" w:space="0" w:color="auto"/>
            <w:bottom w:val="none" w:sz="0" w:space="0" w:color="auto"/>
            <w:right w:val="none" w:sz="0" w:space="0" w:color="auto"/>
          </w:divBdr>
          <w:divsChild>
            <w:div w:id="1993682375">
              <w:marLeft w:val="0"/>
              <w:marRight w:val="0"/>
              <w:marTop w:val="0"/>
              <w:marBottom w:val="0"/>
              <w:divBdr>
                <w:top w:val="none" w:sz="0" w:space="0" w:color="auto"/>
                <w:left w:val="none" w:sz="0" w:space="0" w:color="auto"/>
                <w:bottom w:val="none" w:sz="0" w:space="0" w:color="auto"/>
                <w:right w:val="none" w:sz="0" w:space="0" w:color="auto"/>
              </w:divBdr>
              <w:divsChild>
                <w:div w:id="1957834605">
                  <w:marLeft w:val="0"/>
                  <w:marRight w:val="0"/>
                  <w:marTop w:val="0"/>
                  <w:marBottom w:val="0"/>
                  <w:divBdr>
                    <w:top w:val="none" w:sz="0" w:space="0" w:color="auto"/>
                    <w:left w:val="none" w:sz="0" w:space="0" w:color="auto"/>
                    <w:bottom w:val="none" w:sz="0" w:space="0" w:color="auto"/>
                    <w:right w:val="none" w:sz="0" w:space="0" w:color="auto"/>
                  </w:divBdr>
                  <w:divsChild>
                    <w:div w:id="15535380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2722651">
          <w:marLeft w:val="0"/>
          <w:marRight w:val="0"/>
          <w:marTop w:val="0"/>
          <w:marBottom w:val="0"/>
          <w:divBdr>
            <w:top w:val="none" w:sz="0" w:space="0" w:color="auto"/>
            <w:left w:val="none" w:sz="0" w:space="0" w:color="auto"/>
            <w:bottom w:val="none" w:sz="0" w:space="0" w:color="auto"/>
            <w:right w:val="none" w:sz="0" w:space="0" w:color="auto"/>
          </w:divBdr>
          <w:divsChild>
            <w:div w:id="15400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4328">
      <w:bodyDiv w:val="1"/>
      <w:marLeft w:val="0"/>
      <w:marRight w:val="0"/>
      <w:marTop w:val="0"/>
      <w:marBottom w:val="0"/>
      <w:divBdr>
        <w:top w:val="none" w:sz="0" w:space="0" w:color="auto"/>
        <w:left w:val="none" w:sz="0" w:space="0" w:color="auto"/>
        <w:bottom w:val="none" w:sz="0" w:space="0" w:color="auto"/>
        <w:right w:val="none" w:sz="0" w:space="0" w:color="auto"/>
      </w:divBdr>
    </w:div>
    <w:div w:id="383870828">
      <w:bodyDiv w:val="1"/>
      <w:marLeft w:val="0"/>
      <w:marRight w:val="0"/>
      <w:marTop w:val="0"/>
      <w:marBottom w:val="0"/>
      <w:divBdr>
        <w:top w:val="none" w:sz="0" w:space="0" w:color="auto"/>
        <w:left w:val="none" w:sz="0" w:space="0" w:color="auto"/>
        <w:bottom w:val="none" w:sz="0" w:space="0" w:color="auto"/>
        <w:right w:val="none" w:sz="0" w:space="0" w:color="auto"/>
      </w:divBdr>
    </w:div>
    <w:div w:id="416483683">
      <w:bodyDiv w:val="1"/>
      <w:marLeft w:val="0"/>
      <w:marRight w:val="0"/>
      <w:marTop w:val="0"/>
      <w:marBottom w:val="0"/>
      <w:divBdr>
        <w:top w:val="none" w:sz="0" w:space="0" w:color="auto"/>
        <w:left w:val="none" w:sz="0" w:space="0" w:color="auto"/>
        <w:bottom w:val="none" w:sz="0" w:space="0" w:color="auto"/>
        <w:right w:val="none" w:sz="0" w:space="0" w:color="auto"/>
      </w:divBdr>
    </w:div>
    <w:div w:id="421492145">
      <w:bodyDiv w:val="1"/>
      <w:marLeft w:val="0"/>
      <w:marRight w:val="0"/>
      <w:marTop w:val="0"/>
      <w:marBottom w:val="0"/>
      <w:divBdr>
        <w:top w:val="none" w:sz="0" w:space="0" w:color="auto"/>
        <w:left w:val="none" w:sz="0" w:space="0" w:color="auto"/>
        <w:bottom w:val="none" w:sz="0" w:space="0" w:color="auto"/>
        <w:right w:val="none" w:sz="0" w:space="0" w:color="auto"/>
      </w:divBdr>
    </w:div>
    <w:div w:id="431097542">
      <w:bodyDiv w:val="1"/>
      <w:marLeft w:val="0"/>
      <w:marRight w:val="0"/>
      <w:marTop w:val="0"/>
      <w:marBottom w:val="0"/>
      <w:divBdr>
        <w:top w:val="none" w:sz="0" w:space="0" w:color="auto"/>
        <w:left w:val="none" w:sz="0" w:space="0" w:color="auto"/>
        <w:bottom w:val="none" w:sz="0" w:space="0" w:color="auto"/>
        <w:right w:val="none" w:sz="0" w:space="0" w:color="auto"/>
      </w:divBdr>
    </w:div>
    <w:div w:id="435058671">
      <w:bodyDiv w:val="1"/>
      <w:marLeft w:val="0"/>
      <w:marRight w:val="0"/>
      <w:marTop w:val="0"/>
      <w:marBottom w:val="0"/>
      <w:divBdr>
        <w:top w:val="none" w:sz="0" w:space="0" w:color="auto"/>
        <w:left w:val="none" w:sz="0" w:space="0" w:color="auto"/>
        <w:bottom w:val="none" w:sz="0" w:space="0" w:color="auto"/>
        <w:right w:val="none" w:sz="0" w:space="0" w:color="auto"/>
      </w:divBdr>
    </w:div>
    <w:div w:id="446898196">
      <w:bodyDiv w:val="1"/>
      <w:marLeft w:val="0"/>
      <w:marRight w:val="0"/>
      <w:marTop w:val="0"/>
      <w:marBottom w:val="0"/>
      <w:divBdr>
        <w:top w:val="none" w:sz="0" w:space="0" w:color="auto"/>
        <w:left w:val="none" w:sz="0" w:space="0" w:color="auto"/>
        <w:bottom w:val="none" w:sz="0" w:space="0" w:color="auto"/>
        <w:right w:val="none" w:sz="0" w:space="0" w:color="auto"/>
      </w:divBdr>
    </w:div>
    <w:div w:id="512384283">
      <w:bodyDiv w:val="1"/>
      <w:marLeft w:val="0"/>
      <w:marRight w:val="0"/>
      <w:marTop w:val="0"/>
      <w:marBottom w:val="0"/>
      <w:divBdr>
        <w:top w:val="none" w:sz="0" w:space="0" w:color="auto"/>
        <w:left w:val="none" w:sz="0" w:space="0" w:color="auto"/>
        <w:bottom w:val="none" w:sz="0" w:space="0" w:color="auto"/>
        <w:right w:val="none" w:sz="0" w:space="0" w:color="auto"/>
      </w:divBdr>
    </w:div>
    <w:div w:id="526336451">
      <w:bodyDiv w:val="1"/>
      <w:marLeft w:val="0"/>
      <w:marRight w:val="0"/>
      <w:marTop w:val="0"/>
      <w:marBottom w:val="0"/>
      <w:divBdr>
        <w:top w:val="none" w:sz="0" w:space="0" w:color="auto"/>
        <w:left w:val="none" w:sz="0" w:space="0" w:color="auto"/>
        <w:bottom w:val="none" w:sz="0" w:space="0" w:color="auto"/>
        <w:right w:val="none" w:sz="0" w:space="0" w:color="auto"/>
      </w:divBdr>
    </w:div>
    <w:div w:id="527109575">
      <w:bodyDiv w:val="1"/>
      <w:marLeft w:val="0"/>
      <w:marRight w:val="0"/>
      <w:marTop w:val="0"/>
      <w:marBottom w:val="0"/>
      <w:divBdr>
        <w:top w:val="none" w:sz="0" w:space="0" w:color="auto"/>
        <w:left w:val="none" w:sz="0" w:space="0" w:color="auto"/>
        <w:bottom w:val="none" w:sz="0" w:space="0" w:color="auto"/>
        <w:right w:val="none" w:sz="0" w:space="0" w:color="auto"/>
      </w:divBdr>
      <w:divsChild>
        <w:div w:id="1081441418">
          <w:marLeft w:val="0"/>
          <w:marRight w:val="0"/>
          <w:marTop w:val="0"/>
          <w:marBottom w:val="0"/>
          <w:divBdr>
            <w:top w:val="none" w:sz="0" w:space="0" w:color="auto"/>
            <w:left w:val="none" w:sz="0" w:space="0" w:color="auto"/>
            <w:bottom w:val="none" w:sz="0" w:space="0" w:color="auto"/>
            <w:right w:val="none" w:sz="0" w:space="0" w:color="auto"/>
          </w:divBdr>
          <w:divsChild>
            <w:div w:id="1154685578">
              <w:marLeft w:val="0"/>
              <w:marRight w:val="0"/>
              <w:marTop w:val="0"/>
              <w:marBottom w:val="0"/>
              <w:divBdr>
                <w:top w:val="none" w:sz="0" w:space="0" w:color="auto"/>
                <w:left w:val="none" w:sz="0" w:space="0" w:color="auto"/>
                <w:bottom w:val="none" w:sz="0" w:space="0" w:color="auto"/>
                <w:right w:val="none" w:sz="0" w:space="0" w:color="auto"/>
              </w:divBdr>
            </w:div>
          </w:divsChild>
        </w:div>
        <w:div w:id="1514956346">
          <w:marLeft w:val="0"/>
          <w:marRight w:val="255"/>
          <w:marTop w:val="0"/>
          <w:marBottom w:val="0"/>
          <w:divBdr>
            <w:top w:val="none" w:sz="0" w:space="0" w:color="auto"/>
            <w:left w:val="none" w:sz="0" w:space="0" w:color="auto"/>
            <w:bottom w:val="none" w:sz="0" w:space="0" w:color="auto"/>
            <w:right w:val="none" w:sz="0" w:space="0" w:color="auto"/>
          </w:divBdr>
          <w:divsChild>
            <w:div w:id="1219705068">
              <w:marLeft w:val="0"/>
              <w:marRight w:val="0"/>
              <w:marTop w:val="0"/>
              <w:marBottom w:val="0"/>
              <w:divBdr>
                <w:top w:val="none" w:sz="0" w:space="0" w:color="auto"/>
                <w:left w:val="none" w:sz="0" w:space="0" w:color="auto"/>
                <w:bottom w:val="none" w:sz="0" w:space="0" w:color="auto"/>
                <w:right w:val="none" w:sz="0" w:space="0" w:color="auto"/>
              </w:divBdr>
              <w:divsChild>
                <w:div w:id="1071317474">
                  <w:marLeft w:val="0"/>
                  <w:marRight w:val="0"/>
                  <w:marTop w:val="0"/>
                  <w:marBottom w:val="0"/>
                  <w:divBdr>
                    <w:top w:val="none" w:sz="0" w:space="0" w:color="auto"/>
                    <w:left w:val="none" w:sz="0" w:space="0" w:color="auto"/>
                    <w:bottom w:val="none" w:sz="0" w:space="0" w:color="auto"/>
                    <w:right w:val="none" w:sz="0" w:space="0" w:color="auto"/>
                  </w:divBdr>
                  <w:divsChild>
                    <w:div w:id="16028827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45133995">
          <w:marLeft w:val="0"/>
          <w:marRight w:val="0"/>
          <w:marTop w:val="0"/>
          <w:marBottom w:val="0"/>
          <w:divBdr>
            <w:top w:val="none" w:sz="0" w:space="0" w:color="auto"/>
            <w:left w:val="none" w:sz="0" w:space="0" w:color="auto"/>
            <w:bottom w:val="none" w:sz="0" w:space="0" w:color="auto"/>
            <w:right w:val="none" w:sz="0" w:space="0" w:color="auto"/>
          </w:divBdr>
          <w:divsChild>
            <w:div w:id="19329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1214">
      <w:bodyDiv w:val="1"/>
      <w:marLeft w:val="0"/>
      <w:marRight w:val="0"/>
      <w:marTop w:val="0"/>
      <w:marBottom w:val="0"/>
      <w:divBdr>
        <w:top w:val="none" w:sz="0" w:space="0" w:color="auto"/>
        <w:left w:val="none" w:sz="0" w:space="0" w:color="auto"/>
        <w:bottom w:val="none" w:sz="0" w:space="0" w:color="auto"/>
        <w:right w:val="none" w:sz="0" w:space="0" w:color="auto"/>
      </w:divBdr>
      <w:divsChild>
        <w:div w:id="892931670">
          <w:marLeft w:val="0"/>
          <w:marRight w:val="0"/>
          <w:marTop w:val="0"/>
          <w:marBottom w:val="0"/>
          <w:divBdr>
            <w:top w:val="none" w:sz="0" w:space="0" w:color="auto"/>
            <w:left w:val="none" w:sz="0" w:space="0" w:color="auto"/>
            <w:bottom w:val="none" w:sz="0" w:space="0" w:color="auto"/>
            <w:right w:val="none" w:sz="0" w:space="0" w:color="auto"/>
          </w:divBdr>
          <w:divsChild>
            <w:div w:id="1148667720">
              <w:marLeft w:val="0"/>
              <w:marRight w:val="0"/>
              <w:marTop w:val="0"/>
              <w:marBottom w:val="0"/>
              <w:divBdr>
                <w:top w:val="none" w:sz="0" w:space="0" w:color="auto"/>
                <w:left w:val="none" w:sz="0" w:space="0" w:color="auto"/>
                <w:bottom w:val="none" w:sz="0" w:space="0" w:color="auto"/>
                <w:right w:val="none" w:sz="0" w:space="0" w:color="auto"/>
              </w:divBdr>
            </w:div>
          </w:divsChild>
        </w:div>
        <w:div w:id="1169835245">
          <w:marLeft w:val="0"/>
          <w:marRight w:val="255"/>
          <w:marTop w:val="0"/>
          <w:marBottom w:val="0"/>
          <w:divBdr>
            <w:top w:val="none" w:sz="0" w:space="0" w:color="auto"/>
            <w:left w:val="none" w:sz="0" w:space="0" w:color="auto"/>
            <w:bottom w:val="none" w:sz="0" w:space="0" w:color="auto"/>
            <w:right w:val="none" w:sz="0" w:space="0" w:color="auto"/>
          </w:divBdr>
          <w:divsChild>
            <w:div w:id="1728451357">
              <w:marLeft w:val="0"/>
              <w:marRight w:val="0"/>
              <w:marTop w:val="0"/>
              <w:marBottom w:val="0"/>
              <w:divBdr>
                <w:top w:val="none" w:sz="0" w:space="0" w:color="auto"/>
                <w:left w:val="none" w:sz="0" w:space="0" w:color="auto"/>
                <w:bottom w:val="none" w:sz="0" w:space="0" w:color="auto"/>
                <w:right w:val="none" w:sz="0" w:space="0" w:color="auto"/>
              </w:divBdr>
              <w:divsChild>
                <w:div w:id="1618439912">
                  <w:marLeft w:val="0"/>
                  <w:marRight w:val="0"/>
                  <w:marTop w:val="0"/>
                  <w:marBottom w:val="0"/>
                  <w:divBdr>
                    <w:top w:val="none" w:sz="0" w:space="0" w:color="auto"/>
                    <w:left w:val="none" w:sz="0" w:space="0" w:color="auto"/>
                    <w:bottom w:val="none" w:sz="0" w:space="0" w:color="auto"/>
                    <w:right w:val="none" w:sz="0" w:space="0" w:color="auto"/>
                  </w:divBdr>
                  <w:divsChild>
                    <w:div w:id="3592789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70258957">
          <w:marLeft w:val="0"/>
          <w:marRight w:val="0"/>
          <w:marTop w:val="0"/>
          <w:marBottom w:val="0"/>
          <w:divBdr>
            <w:top w:val="none" w:sz="0" w:space="0" w:color="auto"/>
            <w:left w:val="none" w:sz="0" w:space="0" w:color="auto"/>
            <w:bottom w:val="none" w:sz="0" w:space="0" w:color="auto"/>
            <w:right w:val="none" w:sz="0" w:space="0" w:color="auto"/>
          </w:divBdr>
          <w:divsChild>
            <w:div w:id="1378629811">
              <w:marLeft w:val="0"/>
              <w:marRight w:val="0"/>
              <w:marTop w:val="0"/>
              <w:marBottom w:val="0"/>
              <w:divBdr>
                <w:top w:val="none" w:sz="0" w:space="0" w:color="auto"/>
                <w:left w:val="none" w:sz="0" w:space="0" w:color="auto"/>
                <w:bottom w:val="none" w:sz="0" w:space="0" w:color="auto"/>
                <w:right w:val="none" w:sz="0" w:space="0" w:color="auto"/>
              </w:divBdr>
            </w:div>
          </w:divsChild>
        </w:div>
        <w:div w:id="1909457191">
          <w:marLeft w:val="255"/>
          <w:marRight w:val="0"/>
          <w:marTop w:val="0"/>
          <w:marBottom w:val="0"/>
          <w:divBdr>
            <w:top w:val="none" w:sz="0" w:space="0" w:color="auto"/>
            <w:left w:val="none" w:sz="0" w:space="0" w:color="auto"/>
            <w:bottom w:val="none" w:sz="0" w:space="0" w:color="auto"/>
            <w:right w:val="none" w:sz="0" w:space="0" w:color="auto"/>
          </w:divBdr>
          <w:divsChild>
            <w:div w:id="1128627295">
              <w:marLeft w:val="0"/>
              <w:marRight w:val="0"/>
              <w:marTop w:val="0"/>
              <w:marBottom w:val="0"/>
              <w:divBdr>
                <w:top w:val="none" w:sz="0" w:space="0" w:color="auto"/>
                <w:left w:val="none" w:sz="0" w:space="0" w:color="auto"/>
                <w:bottom w:val="none" w:sz="0" w:space="0" w:color="auto"/>
                <w:right w:val="none" w:sz="0" w:space="0" w:color="auto"/>
              </w:divBdr>
              <w:divsChild>
                <w:div w:id="1414889142">
                  <w:marLeft w:val="0"/>
                  <w:marRight w:val="0"/>
                  <w:marTop w:val="0"/>
                  <w:marBottom w:val="0"/>
                  <w:divBdr>
                    <w:top w:val="none" w:sz="0" w:space="0" w:color="auto"/>
                    <w:left w:val="none" w:sz="0" w:space="0" w:color="auto"/>
                    <w:bottom w:val="none" w:sz="0" w:space="0" w:color="auto"/>
                    <w:right w:val="none" w:sz="0" w:space="0" w:color="auto"/>
                  </w:divBdr>
                  <w:divsChild>
                    <w:div w:id="16281178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18282602">
          <w:marLeft w:val="0"/>
          <w:marRight w:val="0"/>
          <w:marTop w:val="0"/>
          <w:marBottom w:val="0"/>
          <w:divBdr>
            <w:top w:val="none" w:sz="0" w:space="0" w:color="auto"/>
            <w:left w:val="none" w:sz="0" w:space="0" w:color="auto"/>
            <w:bottom w:val="none" w:sz="0" w:space="0" w:color="auto"/>
            <w:right w:val="none" w:sz="0" w:space="0" w:color="auto"/>
          </w:divBdr>
          <w:divsChild>
            <w:div w:id="1190529032">
              <w:marLeft w:val="0"/>
              <w:marRight w:val="0"/>
              <w:marTop w:val="0"/>
              <w:marBottom w:val="0"/>
              <w:divBdr>
                <w:top w:val="none" w:sz="0" w:space="0" w:color="auto"/>
                <w:left w:val="none" w:sz="0" w:space="0" w:color="auto"/>
                <w:bottom w:val="none" w:sz="0" w:space="0" w:color="auto"/>
                <w:right w:val="none" w:sz="0" w:space="0" w:color="auto"/>
              </w:divBdr>
            </w:div>
          </w:divsChild>
        </w:div>
        <w:div w:id="1650161573">
          <w:marLeft w:val="0"/>
          <w:marRight w:val="255"/>
          <w:marTop w:val="0"/>
          <w:marBottom w:val="0"/>
          <w:divBdr>
            <w:top w:val="none" w:sz="0" w:space="0" w:color="auto"/>
            <w:left w:val="none" w:sz="0" w:space="0" w:color="auto"/>
            <w:bottom w:val="none" w:sz="0" w:space="0" w:color="auto"/>
            <w:right w:val="none" w:sz="0" w:space="0" w:color="auto"/>
          </w:divBdr>
          <w:divsChild>
            <w:div w:id="1154755389">
              <w:marLeft w:val="0"/>
              <w:marRight w:val="0"/>
              <w:marTop w:val="0"/>
              <w:marBottom w:val="0"/>
              <w:divBdr>
                <w:top w:val="none" w:sz="0" w:space="0" w:color="auto"/>
                <w:left w:val="none" w:sz="0" w:space="0" w:color="auto"/>
                <w:bottom w:val="none" w:sz="0" w:space="0" w:color="auto"/>
                <w:right w:val="none" w:sz="0" w:space="0" w:color="auto"/>
              </w:divBdr>
              <w:divsChild>
                <w:div w:id="1784227210">
                  <w:marLeft w:val="0"/>
                  <w:marRight w:val="0"/>
                  <w:marTop w:val="0"/>
                  <w:marBottom w:val="0"/>
                  <w:divBdr>
                    <w:top w:val="none" w:sz="0" w:space="0" w:color="auto"/>
                    <w:left w:val="none" w:sz="0" w:space="0" w:color="auto"/>
                    <w:bottom w:val="none" w:sz="0" w:space="0" w:color="auto"/>
                    <w:right w:val="none" w:sz="0" w:space="0" w:color="auto"/>
                  </w:divBdr>
                  <w:divsChild>
                    <w:div w:id="7463414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06957480">
          <w:marLeft w:val="0"/>
          <w:marRight w:val="0"/>
          <w:marTop w:val="0"/>
          <w:marBottom w:val="0"/>
          <w:divBdr>
            <w:top w:val="none" w:sz="0" w:space="0" w:color="auto"/>
            <w:left w:val="none" w:sz="0" w:space="0" w:color="auto"/>
            <w:bottom w:val="none" w:sz="0" w:space="0" w:color="auto"/>
            <w:right w:val="none" w:sz="0" w:space="0" w:color="auto"/>
          </w:divBdr>
          <w:divsChild>
            <w:div w:id="6145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4582">
      <w:bodyDiv w:val="1"/>
      <w:marLeft w:val="0"/>
      <w:marRight w:val="0"/>
      <w:marTop w:val="0"/>
      <w:marBottom w:val="0"/>
      <w:divBdr>
        <w:top w:val="none" w:sz="0" w:space="0" w:color="auto"/>
        <w:left w:val="none" w:sz="0" w:space="0" w:color="auto"/>
        <w:bottom w:val="none" w:sz="0" w:space="0" w:color="auto"/>
        <w:right w:val="none" w:sz="0" w:space="0" w:color="auto"/>
      </w:divBdr>
    </w:div>
    <w:div w:id="586033909">
      <w:bodyDiv w:val="1"/>
      <w:marLeft w:val="0"/>
      <w:marRight w:val="0"/>
      <w:marTop w:val="0"/>
      <w:marBottom w:val="0"/>
      <w:divBdr>
        <w:top w:val="none" w:sz="0" w:space="0" w:color="auto"/>
        <w:left w:val="none" w:sz="0" w:space="0" w:color="auto"/>
        <w:bottom w:val="none" w:sz="0" w:space="0" w:color="auto"/>
        <w:right w:val="none" w:sz="0" w:space="0" w:color="auto"/>
      </w:divBdr>
      <w:divsChild>
        <w:div w:id="445319285">
          <w:marLeft w:val="0"/>
          <w:marRight w:val="0"/>
          <w:marTop w:val="0"/>
          <w:marBottom w:val="300"/>
          <w:divBdr>
            <w:top w:val="none" w:sz="0" w:space="0" w:color="auto"/>
            <w:left w:val="none" w:sz="0" w:space="0" w:color="auto"/>
            <w:bottom w:val="dotted" w:sz="6" w:space="5" w:color="DDDDDD"/>
            <w:right w:val="none" w:sz="0" w:space="0" w:color="auto"/>
          </w:divBdr>
        </w:div>
      </w:divsChild>
    </w:div>
    <w:div w:id="586230254">
      <w:bodyDiv w:val="1"/>
      <w:marLeft w:val="0"/>
      <w:marRight w:val="0"/>
      <w:marTop w:val="0"/>
      <w:marBottom w:val="0"/>
      <w:divBdr>
        <w:top w:val="none" w:sz="0" w:space="0" w:color="auto"/>
        <w:left w:val="none" w:sz="0" w:space="0" w:color="auto"/>
        <w:bottom w:val="none" w:sz="0" w:space="0" w:color="auto"/>
        <w:right w:val="none" w:sz="0" w:space="0" w:color="auto"/>
      </w:divBdr>
    </w:div>
    <w:div w:id="590353196">
      <w:bodyDiv w:val="1"/>
      <w:marLeft w:val="0"/>
      <w:marRight w:val="0"/>
      <w:marTop w:val="0"/>
      <w:marBottom w:val="0"/>
      <w:divBdr>
        <w:top w:val="none" w:sz="0" w:space="0" w:color="auto"/>
        <w:left w:val="none" w:sz="0" w:space="0" w:color="auto"/>
        <w:bottom w:val="none" w:sz="0" w:space="0" w:color="auto"/>
        <w:right w:val="none" w:sz="0" w:space="0" w:color="auto"/>
      </w:divBdr>
    </w:div>
    <w:div w:id="596212399">
      <w:bodyDiv w:val="1"/>
      <w:marLeft w:val="0"/>
      <w:marRight w:val="0"/>
      <w:marTop w:val="0"/>
      <w:marBottom w:val="0"/>
      <w:divBdr>
        <w:top w:val="none" w:sz="0" w:space="0" w:color="auto"/>
        <w:left w:val="none" w:sz="0" w:space="0" w:color="auto"/>
        <w:bottom w:val="none" w:sz="0" w:space="0" w:color="auto"/>
        <w:right w:val="none" w:sz="0" w:space="0" w:color="auto"/>
      </w:divBdr>
      <w:divsChild>
        <w:div w:id="2042511521">
          <w:marLeft w:val="0"/>
          <w:marRight w:val="0"/>
          <w:marTop w:val="0"/>
          <w:marBottom w:val="0"/>
          <w:divBdr>
            <w:top w:val="none" w:sz="0" w:space="0" w:color="auto"/>
            <w:left w:val="none" w:sz="0" w:space="0" w:color="auto"/>
            <w:bottom w:val="none" w:sz="0" w:space="0" w:color="auto"/>
            <w:right w:val="none" w:sz="0" w:space="0" w:color="auto"/>
          </w:divBdr>
          <w:divsChild>
            <w:div w:id="528304440">
              <w:marLeft w:val="0"/>
              <w:marRight w:val="0"/>
              <w:marTop w:val="0"/>
              <w:marBottom w:val="0"/>
              <w:divBdr>
                <w:top w:val="none" w:sz="0" w:space="0" w:color="auto"/>
                <w:left w:val="none" w:sz="0" w:space="0" w:color="auto"/>
                <w:bottom w:val="none" w:sz="0" w:space="0" w:color="auto"/>
                <w:right w:val="none" w:sz="0" w:space="0" w:color="auto"/>
              </w:divBdr>
            </w:div>
          </w:divsChild>
        </w:div>
        <w:div w:id="609557555">
          <w:marLeft w:val="0"/>
          <w:marRight w:val="255"/>
          <w:marTop w:val="0"/>
          <w:marBottom w:val="0"/>
          <w:divBdr>
            <w:top w:val="none" w:sz="0" w:space="0" w:color="auto"/>
            <w:left w:val="none" w:sz="0" w:space="0" w:color="auto"/>
            <w:bottom w:val="none" w:sz="0" w:space="0" w:color="auto"/>
            <w:right w:val="none" w:sz="0" w:space="0" w:color="auto"/>
          </w:divBdr>
          <w:divsChild>
            <w:div w:id="820191015">
              <w:marLeft w:val="0"/>
              <w:marRight w:val="0"/>
              <w:marTop w:val="0"/>
              <w:marBottom w:val="0"/>
              <w:divBdr>
                <w:top w:val="none" w:sz="0" w:space="0" w:color="auto"/>
                <w:left w:val="none" w:sz="0" w:space="0" w:color="auto"/>
                <w:bottom w:val="none" w:sz="0" w:space="0" w:color="auto"/>
                <w:right w:val="none" w:sz="0" w:space="0" w:color="auto"/>
              </w:divBdr>
              <w:divsChild>
                <w:div w:id="390273714">
                  <w:marLeft w:val="0"/>
                  <w:marRight w:val="0"/>
                  <w:marTop w:val="0"/>
                  <w:marBottom w:val="0"/>
                  <w:divBdr>
                    <w:top w:val="none" w:sz="0" w:space="0" w:color="auto"/>
                    <w:left w:val="none" w:sz="0" w:space="0" w:color="auto"/>
                    <w:bottom w:val="none" w:sz="0" w:space="0" w:color="auto"/>
                    <w:right w:val="none" w:sz="0" w:space="0" w:color="auto"/>
                  </w:divBdr>
                  <w:divsChild>
                    <w:div w:id="1842540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3256580">
          <w:marLeft w:val="0"/>
          <w:marRight w:val="0"/>
          <w:marTop w:val="0"/>
          <w:marBottom w:val="0"/>
          <w:divBdr>
            <w:top w:val="none" w:sz="0" w:space="0" w:color="auto"/>
            <w:left w:val="none" w:sz="0" w:space="0" w:color="auto"/>
            <w:bottom w:val="none" w:sz="0" w:space="0" w:color="auto"/>
            <w:right w:val="none" w:sz="0" w:space="0" w:color="auto"/>
          </w:divBdr>
          <w:divsChild>
            <w:div w:id="1417900442">
              <w:marLeft w:val="0"/>
              <w:marRight w:val="0"/>
              <w:marTop w:val="0"/>
              <w:marBottom w:val="0"/>
              <w:divBdr>
                <w:top w:val="none" w:sz="0" w:space="0" w:color="auto"/>
                <w:left w:val="none" w:sz="0" w:space="0" w:color="auto"/>
                <w:bottom w:val="none" w:sz="0" w:space="0" w:color="auto"/>
                <w:right w:val="none" w:sz="0" w:space="0" w:color="auto"/>
              </w:divBdr>
            </w:div>
          </w:divsChild>
        </w:div>
        <w:div w:id="929922730">
          <w:marLeft w:val="0"/>
          <w:marRight w:val="0"/>
          <w:marTop w:val="0"/>
          <w:marBottom w:val="0"/>
          <w:divBdr>
            <w:top w:val="none" w:sz="0" w:space="0" w:color="auto"/>
            <w:left w:val="none" w:sz="0" w:space="0" w:color="auto"/>
            <w:bottom w:val="none" w:sz="0" w:space="0" w:color="auto"/>
            <w:right w:val="none" w:sz="0" w:space="0" w:color="auto"/>
          </w:divBdr>
          <w:divsChild>
            <w:div w:id="1168130771">
              <w:marLeft w:val="0"/>
              <w:marRight w:val="0"/>
              <w:marTop w:val="0"/>
              <w:marBottom w:val="0"/>
              <w:divBdr>
                <w:top w:val="none" w:sz="0" w:space="0" w:color="auto"/>
                <w:left w:val="none" w:sz="0" w:space="0" w:color="auto"/>
                <w:bottom w:val="none" w:sz="0" w:space="0" w:color="auto"/>
                <w:right w:val="none" w:sz="0" w:space="0" w:color="auto"/>
              </w:divBdr>
            </w:div>
          </w:divsChild>
        </w:div>
        <w:div w:id="1800806793">
          <w:marLeft w:val="0"/>
          <w:marRight w:val="0"/>
          <w:marTop w:val="0"/>
          <w:marBottom w:val="0"/>
          <w:divBdr>
            <w:top w:val="none" w:sz="0" w:space="0" w:color="auto"/>
            <w:left w:val="none" w:sz="0" w:space="0" w:color="auto"/>
            <w:bottom w:val="none" w:sz="0" w:space="0" w:color="auto"/>
            <w:right w:val="none" w:sz="0" w:space="0" w:color="auto"/>
          </w:divBdr>
          <w:divsChild>
            <w:div w:id="1426148367">
              <w:marLeft w:val="0"/>
              <w:marRight w:val="0"/>
              <w:marTop w:val="0"/>
              <w:marBottom w:val="0"/>
              <w:divBdr>
                <w:top w:val="none" w:sz="0" w:space="0" w:color="auto"/>
                <w:left w:val="none" w:sz="0" w:space="0" w:color="auto"/>
                <w:bottom w:val="none" w:sz="0" w:space="0" w:color="auto"/>
                <w:right w:val="none" w:sz="0" w:space="0" w:color="auto"/>
              </w:divBdr>
            </w:div>
          </w:divsChild>
        </w:div>
        <w:div w:id="1891845679">
          <w:marLeft w:val="0"/>
          <w:marRight w:val="0"/>
          <w:marTop w:val="0"/>
          <w:marBottom w:val="0"/>
          <w:divBdr>
            <w:top w:val="none" w:sz="0" w:space="0" w:color="auto"/>
            <w:left w:val="none" w:sz="0" w:space="0" w:color="auto"/>
            <w:bottom w:val="none" w:sz="0" w:space="0" w:color="auto"/>
            <w:right w:val="none" w:sz="0" w:space="0" w:color="auto"/>
          </w:divBdr>
          <w:divsChild>
            <w:div w:id="252128519">
              <w:marLeft w:val="0"/>
              <w:marRight w:val="0"/>
              <w:marTop w:val="0"/>
              <w:marBottom w:val="0"/>
              <w:divBdr>
                <w:top w:val="none" w:sz="0" w:space="0" w:color="auto"/>
                <w:left w:val="none" w:sz="0" w:space="0" w:color="auto"/>
                <w:bottom w:val="none" w:sz="0" w:space="0" w:color="auto"/>
                <w:right w:val="none" w:sz="0" w:space="0" w:color="auto"/>
              </w:divBdr>
            </w:div>
          </w:divsChild>
        </w:div>
        <w:div w:id="2128697500">
          <w:marLeft w:val="0"/>
          <w:marRight w:val="0"/>
          <w:marTop w:val="0"/>
          <w:marBottom w:val="0"/>
          <w:divBdr>
            <w:top w:val="none" w:sz="0" w:space="0" w:color="auto"/>
            <w:left w:val="none" w:sz="0" w:space="0" w:color="auto"/>
            <w:bottom w:val="none" w:sz="0" w:space="0" w:color="auto"/>
            <w:right w:val="none" w:sz="0" w:space="0" w:color="auto"/>
          </w:divBdr>
          <w:divsChild>
            <w:div w:id="73359830">
              <w:marLeft w:val="0"/>
              <w:marRight w:val="0"/>
              <w:marTop w:val="0"/>
              <w:marBottom w:val="0"/>
              <w:divBdr>
                <w:top w:val="none" w:sz="0" w:space="0" w:color="auto"/>
                <w:left w:val="none" w:sz="0" w:space="0" w:color="auto"/>
                <w:bottom w:val="none" w:sz="0" w:space="0" w:color="auto"/>
                <w:right w:val="none" w:sz="0" w:space="0" w:color="auto"/>
              </w:divBdr>
            </w:div>
          </w:divsChild>
        </w:div>
        <w:div w:id="1669483631">
          <w:marLeft w:val="0"/>
          <w:marRight w:val="255"/>
          <w:marTop w:val="0"/>
          <w:marBottom w:val="0"/>
          <w:divBdr>
            <w:top w:val="none" w:sz="0" w:space="0" w:color="auto"/>
            <w:left w:val="none" w:sz="0" w:space="0" w:color="auto"/>
            <w:bottom w:val="none" w:sz="0" w:space="0" w:color="auto"/>
            <w:right w:val="none" w:sz="0" w:space="0" w:color="auto"/>
          </w:divBdr>
          <w:divsChild>
            <w:div w:id="1038505215">
              <w:marLeft w:val="0"/>
              <w:marRight w:val="0"/>
              <w:marTop w:val="0"/>
              <w:marBottom w:val="0"/>
              <w:divBdr>
                <w:top w:val="none" w:sz="0" w:space="0" w:color="auto"/>
                <w:left w:val="none" w:sz="0" w:space="0" w:color="auto"/>
                <w:bottom w:val="none" w:sz="0" w:space="0" w:color="auto"/>
                <w:right w:val="none" w:sz="0" w:space="0" w:color="auto"/>
              </w:divBdr>
              <w:divsChild>
                <w:div w:id="1033651787">
                  <w:marLeft w:val="0"/>
                  <w:marRight w:val="0"/>
                  <w:marTop w:val="0"/>
                  <w:marBottom w:val="0"/>
                  <w:divBdr>
                    <w:top w:val="none" w:sz="0" w:space="0" w:color="auto"/>
                    <w:left w:val="none" w:sz="0" w:space="0" w:color="auto"/>
                    <w:bottom w:val="none" w:sz="0" w:space="0" w:color="auto"/>
                    <w:right w:val="none" w:sz="0" w:space="0" w:color="auto"/>
                  </w:divBdr>
                  <w:divsChild>
                    <w:div w:id="160049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38904491">
          <w:marLeft w:val="0"/>
          <w:marRight w:val="0"/>
          <w:marTop w:val="0"/>
          <w:marBottom w:val="0"/>
          <w:divBdr>
            <w:top w:val="none" w:sz="0" w:space="0" w:color="auto"/>
            <w:left w:val="none" w:sz="0" w:space="0" w:color="auto"/>
            <w:bottom w:val="none" w:sz="0" w:space="0" w:color="auto"/>
            <w:right w:val="none" w:sz="0" w:space="0" w:color="auto"/>
          </w:divBdr>
          <w:divsChild>
            <w:div w:id="116337187">
              <w:marLeft w:val="0"/>
              <w:marRight w:val="0"/>
              <w:marTop w:val="0"/>
              <w:marBottom w:val="0"/>
              <w:divBdr>
                <w:top w:val="none" w:sz="0" w:space="0" w:color="auto"/>
                <w:left w:val="none" w:sz="0" w:space="0" w:color="auto"/>
                <w:bottom w:val="none" w:sz="0" w:space="0" w:color="auto"/>
                <w:right w:val="none" w:sz="0" w:space="0" w:color="auto"/>
              </w:divBdr>
            </w:div>
          </w:divsChild>
        </w:div>
        <w:div w:id="984775493">
          <w:marLeft w:val="0"/>
          <w:marRight w:val="0"/>
          <w:marTop w:val="0"/>
          <w:marBottom w:val="0"/>
          <w:divBdr>
            <w:top w:val="none" w:sz="0" w:space="0" w:color="auto"/>
            <w:left w:val="none" w:sz="0" w:space="0" w:color="auto"/>
            <w:bottom w:val="none" w:sz="0" w:space="0" w:color="auto"/>
            <w:right w:val="none" w:sz="0" w:space="0" w:color="auto"/>
          </w:divBdr>
          <w:divsChild>
            <w:div w:id="360208115">
              <w:marLeft w:val="0"/>
              <w:marRight w:val="0"/>
              <w:marTop w:val="0"/>
              <w:marBottom w:val="0"/>
              <w:divBdr>
                <w:top w:val="none" w:sz="0" w:space="0" w:color="auto"/>
                <w:left w:val="none" w:sz="0" w:space="0" w:color="auto"/>
                <w:bottom w:val="none" w:sz="0" w:space="0" w:color="auto"/>
                <w:right w:val="none" w:sz="0" w:space="0" w:color="auto"/>
              </w:divBdr>
            </w:div>
          </w:divsChild>
        </w:div>
        <w:div w:id="1100218616">
          <w:marLeft w:val="0"/>
          <w:marRight w:val="0"/>
          <w:marTop w:val="0"/>
          <w:marBottom w:val="0"/>
          <w:divBdr>
            <w:top w:val="none" w:sz="0" w:space="0" w:color="auto"/>
            <w:left w:val="none" w:sz="0" w:space="0" w:color="auto"/>
            <w:bottom w:val="none" w:sz="0" w:space="0" w:color="auto"/>
            <w:right w:val="none" w:sz="0" w:space="0" w:color="auto"/>
          </w:divBdr>
          <w:divsChild>
            <w:div w:id="6700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40791">
      <w:bodyDiv w:val="1"/>
      <w:marLeft w:val="0"/>
      <w:marRight w:val="0"/>
      <w:marTop w:val="0"/>
      <w:marBottom w:val="0"/>
      <w:divBdr>
        <w:top w:val="none" w:sz="0" w:space="0" w:color="auto"/>
        <w:left w:val="none" w:sz="0" w:space="0" w:color="auto"/>
        <w:bottom w:val="none" w:sz="0" w:space="0" w:color="auto"/>
        <w:right w:val="none" w:sz="0" w:space="0" w:color="auto"/>
      </w:divBdr>
      <w:divsChild>
        <w:div w:id="1722708148">
          <w:marLeft w:val="0"/>
          <w:marRight w:val="0"/>
          <w:marTop w:val="0"/>
          <w:marBottom w:val="0"/>
          <w:divBdr>
            <w:top w:val="none" w:sz="0" w:space="0" w:color="auto"/>
            <w:left w:val="none" w:sz="0" w:space="0" w:color="auto"/>
            <w:bottom w:val="none" w:sz="0" w:space="0" w:color="auto"/>
            <w:right w:val="none" w:sz="0" w:space="0" w:color="auto"/>
          </w:divBdr>
          <w:divsChild>
            <w:div w:id="182938417">
              <w:marLeft w:val="0"/>
              <w:marRight w:val="0"/>
              <w:marTop w:val="0"/>
              <w:marBottom w:val="0"/>
              <w:divBdr>
                <w:top w:val="none" w:sz="0" w:space="0" w:color="auto"/>
                <w:left w:val="none" w:sz="0" w:space="0" w:color="auto"/>
                <w:bottom w:val="none" w:sz="0" w:space="0" w:color="auto"/>
                <w:right w:val="none" w:sz="0" w:space="0" w:color="auto"/>
              </w:divBdr>
            </w:div>
          </w:divsChild>
        </w:div>
        <w:div w:id="1104495828">
          <w:marLeft w:val="0"/>
          <w:marRight w:val="255"/>
          <w:marTop w:val="0"/>
          <w:marBottom w:val="0"/>
          <w:divBdr>
            <w:top w:val="none" w:sz="0" w:space="0" w:color="auto"/>
            <w:left w:val="none" w:sz="0" w:space="0" w:color="auto"/>
            <w:bottom w:val="none" w:sz="0" w:space="0" w:color="auto"/>
            <w:right w:val="none" w:sz="0" w:space="0" w:color="auto"/>
          </w:divBdr>
          <w:divsChild>
            <w:div w:id="1724862414">
              <w:marLeft w:val="0"/>
              <w:marRight w:val="0"/>
              <w:marTop w:val="0"/>
              <w:marBottom w:val="0"/>
              <w:divBdr>
                <w:top w:val="none" w:sz="0" w:space="0" w:color="auto"/>
                <w:left w:val="none" w:sz="0" w:space="0" w:color="auto"/>
                <w:bottom w:val="none" w:sz="0" w:space="0" w:color="auto"/>
                <w:right w:val="none" w:sz="0" w:space="0" w:color="auto"/>
              </w:divBdr>
              <w:divsChild>
                <w:div w:id="73556941">
                  <w:marLeft w:val="0"/>
                  <w:marRight w:val="0"/>
                  <w:marTop w:val="0"/>
                  <w:marBottom w:val="0"/>
                  <w:divBdr>
                    <w:top w:val="none" w:sz="0" w:space="0" w:color="auto"/>
                    <w:left w:val="none" w:sz="0" w:space="0" w:color="auto"/>
                    <w:bottom w:val="none" w:sz="0" w:space="0" w:color="auto"/>
                    <w:right w:val="none" w:sz="0" w:space="0" w:color="auto"/>
                  </w:divBdr>
                  <w:divsChild>
                    <w:div w:id="15481077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84324232">
          <w:marLeft w:val="0"/>
          <w:marRight w:val="0"/>
          <w:marTop w:val="0"/>
          <w:marBottom w:val="0"/>
          <w:divBdr>
            <w:top w:val="none" w:sz="0" w:space="0" w:color="auto"/>
            <w:left w:val="none" w:sz="0" w:space="0" w:color="auto"/>
            <w:bottom w:val="none" w:sz="0" w:space="0" w:color="auto"/>
            <w:right w:val="none" w:sz="0" w:space="0" w:color="auto"/>
          </w:divBdr>
          <w:divsChild>
            <w:div w:id="8859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29276">
      <w:bodyDiv w:val="1"/>
      <w:marLeft w:val="0"/>
      <w:marRight w:val="0"/>
      <w:marTop w:val="0"/>
      <w:marBottom w:val="0"/>
      <w:divBdr>
        <w:top w:val="none" w:sz="0" w:space="0" w:color="auto"/>
        <w:left w:val="none" w:sz="0" w:space="0" w:color="auto"/>
        <w:bottom w:val="none" w:sz="0" w:space="0" w:color="auto"/>
        <w:right w:val="none" w:sz="0" w:space="0" w:color="auto"/>
      </w:divBdr>
    </w:div>
    <w:div w:id="701438183">
      <w:bodyDiv w:val="1"/>
      <w:marLeft w:val="0"/>
      <w:marRight w:val="0"/>
      <w:marTop w:val="0"/>
      <w:marBottom w:val="0"/>
      <w:divBdr>
        <w:top w:val="none" w:sz="0" w:space="0" w:color="auto"/>
        <w:left w:val="none" w:sz="0" w:space="0" w:color="auto"/>
        <w:bottom w:val="none" w:sz="0" w:space="0" w:color="auto"/>
        <w:right w:val="none" w:sz="0" w:space="0" w:color="auto"/>
      </w:divBdr>
    </w:div>
    <w:div w:id="703020108">
      <w:bodyDiv w:val="1"/>
      <w:marLeft w:val="0"/>
      <w:marRight w:val="0"/>
      <w:marTop w:val="0"/>
      <w:marBottom w:val="0"/>
      <w:divBdr>
        <w:top w:val="none" w:sz="0" w:space="0" w:color="auto"/>
        <w:left w:val="none" w:sz="0" w:space="0" w:color="auto"/>
        <w:bottom w:val="none" w:sz="0" w:space="0" w:color="auto"/>
        <w:right w:val="none" w:sz="0" w:space="0" w:color="auto"/>
      </w:divBdr>
    </w:div>
    <w:div w:id="717314598">
      <w:bodyDiv w:val="1"/>
      <w:marLeft w:val="0"/>
      <w:marRight w:val="0"/>
      <w:marTop w:val="0"/>
      <w:marBottom w:val="0"/>
      <w:divBdr>
        <w:top w:val="none" w:sz="0" w:space="0" w:color="auto"/>
        <w:left w:val="none" w:sz="0" w:space="0" w:color="auto"/>
        <w:bottom w:val="none" w:sz="0" w:space="0" w:color="auto"/>
        <w:right w:val="none" w:sz="0" w:space="0" w:color="auto"/>
      </w:divBdr>
    </w:div>
    <w:div w:id="745296919">
      <w:bodyDiv w:val="1"/>
      <w:marLeft w:val="0"/>
      <w:marRight w:val="0"/>
      <w:marTop w:val="0"/>
      <w:marBottom w:val="0"/>
      <w:divBdr>
        <w:top w:val="none" w:sz="0" w:space="0" w:color="auto"/>
        <w:left w:val="none" w:sz="0" w:space="0" w:color="auto"/>
        <w:bottom w:val="none" w:sz="0" w:space="0" w:color="auto"/>
        <w:right w:val="none" w:sz="0" w:space="0" w:color="auto"/>
      </w:divBdr>
      <w:divsChild>
        <w:div w:id="751315576">
          <w:marLeft w:val="0"/>
          <w:marRight w:val="0"/>
          <w:marTop w:val="0"/>
          <w:marBottom w:val="0"/>
          <w:divBdr>
            <w:top w:val="none" w:sz="0" w:space="0" w:color="auto"/>
            <w:left w:val="none" w:sz="0" w:space="0" w:color="auto"/>
            <w:bottom w:val="none" w:sz="0" w:space="0" w:color="auto"/>
            <w:right w:val="none" w:sz="0" w:space="0" w:color="auto"/>
          </w:divBdr>
          <w:divsChild>
            <w:div w:id="314840277">
              <w:marLeft w:val="0"/>
              <w:marRight w:val="0"/>
              <w:marTop w:val="0"/>
              <w:marBottom w:val="0"/>
              <w:divBdr>
                <w:top w:val="none" w:sz="0" w:space="0" w:color="auto"/>
                <w:left w:val="none" w:sz="0" w:space="0" w:color="auto"/>
                <w:bottom w:val="none" w:sz="0" w:space="0" w:color="auto"/>
                <w:right w:val="none" w:sz="0" w:space="0" w:color="auto"/>
              </w:divBdr>
            </w:div>
          </w:divsChild>
        </w:div>
        <w:div w:id="242682881">
          <w:marLeft w:val="0"/>
          <w:marRight w:val="255"/>
          <w:marTop w:val="0"/>
          <w:marBottom w:val="0"/>
          <w:divBdr>
            <w:top w:val="none" w:sz="0" w:space="0" w:color="auto"/>
            <w:left w:val="none" w:sz="0" w:space="0" w:color="auto"/>
            <w:bottom w:val="none" w:sz="0" w:space="0" w:color="auto"/>
            <w:right w:val="none" w:sz="0" w:space="0" w:color="auto"/>
          </w:divBdr>
          <w:divsChild>
            <w:div w:id="431554574">
              <w:marLeft w:val="0"/>
              <w:marRight w:val="0"/>
              <w:marTop w:val="0"/>
              <w:marBottom w:val="0"/>
              <w:divBdr>
                <w:top w:val="none" w:sz="0" w:space="0" w:color="auto"/>
                <w:left w:val="none" w:sz="0" w:space="0" w:color="auto"/>
                <w:bottom w:val="none" w:sz="0" w:space="0" w:color="auto"/>
                <w:right w:val="none" w:sz="0" w:space="0" w:color="auto"/>
              </w:divBdr>
              <w:divsChild>
                <w:div w:id="821967226">
                  <w:marLeft w:val="0"/>
                  <w:marRight w:val="0"/>
                  <w:marTop w:val="0"/>
                  <w:marBottom w:val="0"/>
                  <w:divBdr>
                    <w:top w:val="none" w:sz="0" w:space="0" w:color="auto"/>
                    <w:left w:val="none" w:sz="0" w:space="0" w:color="auto"/>
                    <w:bottom w:val="none" w:sz="0" w:space="0" w:color="auto"/>
                    <w:right w:val="none" w:sz="0" w:space="0" w:color="auto"/>
                  </w:divBdr>
                  <w:divsChild>
                    <w:div w:id="13026882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82925683">
          <w:marLeft w:val="0"/>
          <w:marRight w:val="0"/>
          <w:marTop w:val="0"/>
          <w:marBottom w:val="0"/>
          <w:divBdr>
            <w:top w:val="none" w:sz="0" w:space="0" w:color="auto"/>
            <w:left w:val="none" w:sz="0" w:space="0" w:color="auto"/>
            <w:bottom w:val="none" w:sz="0" w:space="0" w:color="auto"/>
            <w:right w:val="none" w:sz="0" w:space="0" w:color="auto"/>
          </w:divBdr>
          <w:divsChild>
            <w:div w:id="21448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27538">
      <w:bodyDiv w:val="1"/>
      <w:marLeft w:val="0"/>
      <w:marRight w:val="0"/>
      <w:marTop w:val="0"/>
      <w:marBottom w:val="0"/>
      <w:divBdr>
        <w:top w:val="none" w:sz="0" w:space="0" w:color="auto"/>
        <w:left w:val="none" w:sz="0" w:space="0" w:color="auto"/>
        <w:bottom w:val="none" w:sz="0" w:space="0" w:color="auto"/>
        <w:right w:val="none" w:sz="0" w:space="0" w:color="auto"/>
      </w:divBdr>
      <w:divsChild>
        <w:div w:id="1147207946">
          <w:marLeft w:val="0"/>
          <w:marRight w:val="0"/>
          <w:marTop w:val="0"/>
          <w:marBottom w:val="300"/>
          <w:divBdr>
            <w:top w:val="none" w:sz="0" w:space="0" w:color="auto"/>
            <w:left w:val="none" w:sz="0" w:space="0" w:color="auto"/>
            <w:bottom w:val="dotted" w:sz="6" w:space="5" w:color="DDDDDD"/>
            <w:right w:val="none" w:sz="0" w:space="0" w:color="auto"/>
          </w:divBdr>
        </w:div>
        <w:div w:id="877623988">
          <w:marLeft w:val="0"/>
          <w:marRight w:val="0"/>
          <w:marTop w:val="240"/>
          <w:marBottom w:val="240"/>
          <w:divBdr>
            <w:top w:val="none" w:sz="0" w:space="0" w:color="auto"/>
            <w:left w:val="none" w:sz="0" w:space="0" w:color="auto"/>
            <w:bottom w:val="none" w:sz="0" w:space="0" w:color="auto"/>
            <w:right w:val="none" w:sz="0" w:space="0" w:color="auto"/>
          </w:divBdr>
          <w:divsChild>
            <w:div w:id="19292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585">
      <w:bodyDiv w:val="1"/>
      <w:marLeft w:val="0"/>
      <w:marRight w:val="0"/>
      <w:marTop w:val="0"/>
      <w:marBottom w:val="0"/>
      <w:divBdr>
        <w:top w:val="none" w:sz="0" w:space="0" w:color="auto"/>
        <w:left w:val="none" w:sz="0" w:space="0" w:color="auto"/>
        <w:bottom w:val="none" w:sz="0" w:space="0" w:color="auto"/>
        <w:right w:val="none" w:sz="0" w:space="0" w:color="auto"/>
      </w:divBdr>
    </w:div>
    <w:div w:id="774909770">
      <w:bodyDiv w:val="1"/>
      <w:marLeft w:val="0"/>
      <w:marRight w:val="0"/>
      <w:marTop w:val="0"/>
      <w:marBottom w:val="0"/>
      <w:divBdr>
        <w:top w:val="none" w:sz="0" w:space="0" w:color="auto"/>
        <w:left w:val="none" w:sz="0" w:space="0" w:color="auto"/>
        <w:bottom w:val="none" w:sz="0" w:space="0" w:color="auto"/>
        <w:right w:val="none" w:sz="0" w:space="0" w:color="auto"/>
      </w:divBdr>
    </w:div>
    <w:div w:id="805857081">
      <w:bodyDiv w:val="1"/>
      <w:marLeft w:val="0"/>
      <w:marRight w:val="0"/>
      <w:marTop w:val="0"/>
      <w:marBottom w:val="0"/>
      <w:divBdr>
        <w:top w:val="none" w:sz="0" w:space="0" w:color="auto"/>
        <w:left w:val="none" w:sz="0" w:space="0" w:color="auto"/>
        <w:bottom w:val="none" w:sz="0" w:space="0" w:color="auto"/>
        <w:right w:val="none" w:sz="0" w:space="0" w:color="auto"/>
      </w:divBdr>
      <w:divsChild>
        <w:div w:id="744883018">
          <w:marLeft w:val="0"/>
          <w:marRight w:val="0"/>
          <w:marTop w:val="0"/>
          <w:marBottom w:val="0"/>
          <w:divBdr>
            <w:top w:val="none" w:sz="0" w:space="0" w:color="auto"/>
            <w:left w:val="none" w:sz="0" w:space="0" w:color="auto"/>
            <w:bottom w:val="none" w:sz="0" w:space="0" w:color="auto"/>
            <w:right w:val="none" w:sz="0" w:space="0" w:color="auto"/>
          </w:divBdr>
          <w:divsChild>
            <w:div w:id="456410458">
              <w:marLeft w:val="0"/>
              <w:marRight w:val="0"/>
              <w:marTop w:val="0"/>
              <w:marBottom w:val="0"/>
              <w:divBdr>
                <w:top w:val="none" w:sz="0" w:space="0" w:color="auto"/>
                <w:left w:val="none" w:sz="0" w:space="0" w:color="auto"/>
                <w:bottom w:val="none" w:sz="0" w:space="0" w:color="auto"/>
                <w:right w:val="none" w:sz="0" w:space="0" w:color="auto"/>
              </w:divBdr>
            </w:div>
          </w:divsChild>
        </w:div>
        <w:div w:id="510726355">
          <w:marLeft w:val="0"/>
          <w:marRight w:val="255"/>
          <w:marTop w:val="0"/>
          <w:marBottom w:val="0"/>
          <w:divBdr>
            <w:top w:val="none" w:sz="0" w:space="0" w:color="auto"/>
            <w:left w:val="none" w:sz="0" w:space="0" w:color="auto"/>
            <w:bottom w:val="none" w:sz="0" w:space="0" w:color="auto"/>
            <w:right w:val="none" w:sz="0" w:space="0" w:color="auto"/>
          </w:divBdr>
          <w:divsChild>
            <w:div w:id="1951815033">
              <w:marLeft w:val="0"/>
              <w:marRight w:val="0"/>
              <w:marTop w:val="0"/>
              <w:marBottom w:val="0"/>
              <w:divBdr>
                <w:top w:val="none" w:sz="0" w:space="0" w:color="auto"/>
                <w:left w:val="none" w:sz="0" w:space="0" w:color="auto"/>
                <w:bottom w:val="none" w:sz="0" w:space="0" w:color="auto"/>
                <w:right w:val="none" w:sz="0" w:space="0" w:color="auto"/>
              </w:divBdr>
              <w:divsChild>
                <w:div w:id="112289308">
                  <w:marLeft w:val="0"/>
                  <w:marRight w:val="0"/>
                  <w:marTop w:val="0"/>
                  <w:marBottom w:val="0"/>
                  <w:divBdr>
                    <w:top w:val="none" w:sz="0" w:space="0" w:color="auto"/>
                    <w:left w:val="none" w:sz="0" w:space="0" w:color="auto"/>
                    <w:bottom w:val="none" w:sz="0" w:space="0" w:color="auto"/>
                    <w:right w:val="none" w:sz="0" w:space="0" w:color="auto"/>
                  </w:divBdr>
                  <w:divsChild>
                    <w:div w:id="10461801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79384924">
          <w:marLeft w:val="0"/>
          <w:marRight w:val="0"/>
          <w:marTop w:val="0"/>
          <w:marBottom w:val="0"/>
          <w:divBdr>
            <w:top w:val="none" w:sz="0" w:space="0" w:color="auto"/>
            <w:left w:val="none" w:sz="0" w:space="0" w:color="auto"/>
            <w:bottom w:val="none" w:sz="0" w:space="0" w:color="auto"/>
            <w:right w:val="none" w:sz="0" w:space="0" w:color="auto"/>
          </w:divBdr>
          <w:divsChild>
            <w:div w:id="18630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4789">
      <w:bodyDiv w:val="1"/>
      <w:marLeft w:val="0"/>
      <w:marRight w:val="0"/>
      <w:marTop w:val="0"/>
      <w:marBottom w:val="0"/>
      <w:divBdr>
        <w:top w:val="none" w:sz="0" w:space="0" w:color="auto"/>
        <w:left w:val="none" w:sz="0" w:space="0" w:color="auto"/>
        <w:bottom w:val="none" w:sz="0" w:space="0" w:color="auto"/>
        <w:right w:val="none" w:sz="0" w:space="0" w:color="auto"/>
      </w:divBdr>
      <w:divsChild>
        <w:div w:id="90974337">
          <w:marLeft w:val="0"/>
          <w:marRight w:val="0"/>
          <w:marTop w:val="0"/>
          <w:marBottom w:val="0"/>
          <w:divBdr>
            <w:top w:val="none" w:sz="0" w:space="0" w:color="auto"/>
            <w:left w:val="none" w:sz="0" w:space="0" w:color="auto"/>
            <w:bottom w:val="none" w:sz="0" w:space="0" w:color="auto"/>
            <w:right w:val="none" w:sz="0" w:space="0" w:color="auto"/>
          </w:divBdr>
          <w:divsChild>
            <w:div w:id="978463740">
              <w:marLeft w:val="0"/>
              <w:marRight w:val="0"/>
              <w:marTop w:val="0"/>
              <w:marBottom w:val="0"/>
              <w:divBdr>
                <w:top w:val="none" w:sz="0" w:space="0" w:color="auto"/>
                <w:left w:val="none" w:sz="0" w:space="0" w:color="auto"/>
                <w:bottom w:val="none" w:sz="0" w:space="0" w:color="auto"/>
                <w:right w:val="none" w:sz="0" w:space="0" w:color="auto"/>
              </w:divBdr>
            </w:div>
          </w:divsChild>
        </w:div>
        <w:div w:id="1266573549">
          <w:marLeft w:val="255"/>
          <w:marRight w:val="0"/>
          <w:marTop w:val="0"/>
          <w:marBottom w:val="0"/>
          <w:divBdr>
            <w:top w:val="none" w:sz="0" w:space="0" w:color="auto"/>
            <w:left w:val="none" w:sz="0" w:space="0" w:color="auto"/>
            <w:bottom w:val="none" w:sz="0" w:space="0" w:color="auto"/>
            <w:right w:val="none" w:sz="0" w:space="0" w:color="auto"/>
          </w:divBdr>
          <w:divsChild>
            <w:div w:id="1498035022">
              <w:marLeft w:val="0"/>
              <w:marRight w:val="0"/>
              <w:marTop w:val="0"/>
              <w:marBottom w:val="0"/>
              <w:divBdr>
                <w:top w:val="none" w:sz="0" w:space="0" w:color="auto"/>
                <w:left w:val="none" w:sz="0" w:space="0" w:color="auto"/>
                <w:bottom w:val="none" w:sz="0" w:space="0" w:color="auto"/>
                <w:right w:val="none" w:sz="0" w:space="0" w:color="auto"/>
              </w:divBdr>
              <w:divsChild>
                <w:div w:id="2142920329">
                  <w:marLeft w:val="0"/>
                  <w:marRight w:val="0"/>
                  <w:marTop w:val="0"/>
                  <w:marBottom w:val="0"/>
                  <w:divBdr>
                    <w:top w:val="none" w:sz="0" w:space="0" w:color="auto"/>
                    <w:left w:val="none" w:sz="0" w:space="0" w:color="auto"/>
                    <w:bottom w:val="none" w:sz="0" w:space="0" w:color="auto"/>
                    <w:right w:val="none" w:sz="0" w:space="0" w:color="auto"/>
                  </w:divBdr>
                  <w:divsChild>
                    <w:div w:id="18344895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17384822">
          <w:marLeft w:val="0"/>
          <w:marRight w:val="0"/>
          <w:marTop w:val="0"/>
          <w:marBottom w:val="0"/>
          <w:divBdr>
            <w:top w:val="none" w:sz="0" w:space="0" w:color="auto"/>
            <w:left w:val="none" w:sz="0" w:space="0" w:color="auto"/>
            <w:bottom w:val="none" w:sz="0" w:space="0" w:color="auto"/>
            <w:right w:val="none" w:sz="0" w:space="0" w:color="auto"/>
          </w:divBdr>
          <w:divsChild>
            <w:div w:id="342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7296">
      <w:bodyDiv w:val="1"/>
      <w:marLeft w:val="0"/>
      <w:marRight w:val="0"/>
      <w:marTop w:val="0"/>
      <w:marBottom w:val="0"/>
      <w:divBdr>
        <w:top w:val="none" w:sz="0" w:space="0" w:color="auto"/>
        <w:left w:val="none" w:sz="0" w:space="0" w:color="auto"/>
        <w:bottom w:val="none" w:sz="0" w:space="0" w:color="auto"/>
        <w:right w:val="none" w:sz="0" w:space="0" w:color="auto"/>
      </w:divBdr>
    </w:div>
    <w:div w:id="849879334">
      <w:bodyDiv w:val="1"/>
      <w:marLeft w:val="0"/>
      <w:marRight w:val="0"/>
      <w:marTop w:val="0"/>
      <w:marBottom w:val="0"/>
      <w:divBdr>
        <w:top w:val="none" w:sz="0" w:space="0" w:color="auto"/>
        <w:left w:val="none" w:sz="0" w:space="0" w:color="auto"/>
        <w:bottom w:val="none" w:sz="0" w:space="0" w:color="auto"/>
        <w:right w:val="none" w:sz="0" w:space="0" w:color="auto"/>
      </w:divBdr>
    </w:div>
    <w:div w:id="883910570">
      <w:bodyDiv w:val="1"/>
      <w:marLeft w:val="0"/>
      <w:marRight w:val="0"/>
      <w:marTop w:val="0"/>
      <w:marBottom w:val="0"/>
      <w:divBdr>
        <w:top w:val="none" w:sz="0" w:space="0" w:color="auto"/>
        <w:left w:val="none" w:sz="0" w:space="0" w:color="auto"/>
        <w:bottom w:val="none" w:sz="0" w:space="0" w:color="auto"/>
        <w:right w:val="none" w:sz="0" w:space="0" w:color="auto"/>
      </w:divBdr>
    </w:div>
    <w:div w:id="918902601">
      <w:bodyDiv w:val="1"/>
      <w:marLeft w:val="0"/>
      <w:marRight w:val="0"/>
      <w:marTop w:val="0"/>
      <w:marBottom w:val="0"/>
      <w:divBdr>
        <w:top w:val="none" w:sz="0" w:space="0" w:color="auto"/>
        <w:left w:val="none" w:sz="0" w:space="0" w:color="auto"/>
        <w:bottom w:val="none" w:sz="0" w:space="0" w:color="auto"/>
        <w:right w:val="none" w:sz="0" w:space="0" w:color="auto"/>
      </w:divBdr>
    </w:div>
    <w:div w:id="924412641">
      <w:bodyDiv w:val="1"/>
      <w:marLeft w:val="0"/>
      <w:marRight w:val="0"/>
      <w:marTop w:val="0"/>
      <w:marBottom w:val="0"/>
      <w:divBdr>
        <w:top w:val="none" w:sz="0" w:space="0" w:color="auto"/>
        <w:left w:val="none" w:sz="0" w:space="0" w:color="auto"/>
        <w:bottom w:val="none" w:sz="0" w:space="0" w:color="auto"/>
        <w:right w:val="none" w:sz="0" w:space="0" w:color="auto"/>
      </w:divBdr>
    </w:div>
    <w:div w:id="968048870">
      <w:bodyDiv w:val="1"/>
      <w:marLeft w:val="0"/>
      <w:marRight w:val="0"/>
      <w:marTop w:val="0"/>
      <w:marBottom w:val="0"/>
      <w:divBdr>
        <w:top w:val="none" w:sz="0" w:space="0" w:color="auto"/>
        <w:left w:val="none" w:sz="0" w:space="0" w:color="auto"/>
        <w:bottom w:val="none" w:sz="0" w:space="0" w:color="auto"/>
        <w:right w:val="none" w:sz="0" w:space="0" w:color="auto"/>
      </w:divBdr>
    </w:div>
    <w:div w:id="988023837">
      <w:bodyDiv w:val="1"/>
      <w:marLeft w:val="0"/>
      <w:marRight w:val="0"/>
      <w:marTop w:val="0"/>
      <w:marBottom w:val="0"/>
      <w:divBdr>
        <w:top w:val="none" w:sz="0" w:space="0" w:color="auto"/>
        <w:left w:val="none" w:sz="0" w:space="0" w:color="auto"/>
        <w:bottom w:val="none" w:sz="0" w:space="0" w:color="auto"/>
        <w:right w:val="none" w:sz="0" w:space="0" w:color="auto"/>
      </w:divBdr>
    </w:div>
    <w:div w:id="994647220">
      <w:bodyDiv w:val="1"/>
      <w:marLeft w:val="0"/>
      <w:marRight w:val="0"/>
      <w:marTop w:val="0"/>
      <w:marBottom w:val="0"/>
      <w:divBdr>
        <w:top w:val="none" w:sz="0" w:space="0" w:color="auto"/>
        <w:left w:val="none" w:sz="0" w:space="0" w:color="auto"/>
        <w:bottom w:val="none" w:sz="0" w:space="0" w:color="auto"/>
        <w:right w:val="none" w:sz="0" w:space="0" w:color="auto"/>
      </w:divBdr>
    </w:div>
    <w:div w:id="1006250652">
      <w:bodyDiv w:val="1"/>
      <w:marLeft w:val="0"/>
      <w:marRight w:val="0"/>
      <w:marTop w:val="0"/>
      <w:marBottom w:val="0"/>
      <w:divBdr>
        <w:top w:val="none" w:sz="0" w:space="0" w:color="auto"/>
        <w:left w:val="none" w:sz="0" w:space="0" w:color="auto"/>
        <w:bottom w:val="none" w:sz="0" w:space="0" w:color="auto"/>
        <w:right w:val="none" w:sz="0" w:space="0" w:color="auto"/>
      </w:divBdr>
    </w:div>
    <w:div w:id="1007438996">
      <w:bodyDiv w:val="1"/>
      <w:marLeft w:val="0"/>
      <w:marRight w:val="0"/>
      <w:marTop w:val="0"/>
      <w:marBottom w:val="0"/>
      <w:divBdr>
        <w:top w:val="none" w:sz="0" w:space="0" w:color="auto"/>
        <w:left w:val="none" w:sz="0" w:space="0" w:color="auto"/>
        <w:bottom w:val="none" w:sz="0" w:space="0" w:color="auto"/>
        <w:right w:val="none" w:sz="0" w:space="0" w:color="auto"/>
      </w:divBdr>
    </w:div>
    <w:div w:id="1044645797">
      <w:bodyDiv w:val="1"/>
      <w:marLeft w:val="0"/>
      <w:marRight w:val="0"/>
      <w:marTop w:val="0"/>
      <w:marBottom w:val="0"/>
      <w:divBdr>
        <w:top w:val="none" w:sz="0" w:space="0" w:color="auto"/>
        <w:left w:val="none" w:sz="0" w:space="0" w:color="auto"/>
        <w:bottom w:val="none" w:sz="0" w:space="0" w:color="auto"/>
        <w:right w:val="none" w:sz="0" w:space="0" w:color="auto"/>
      </w:divBdr>
    </w:div>
    <w:div w:id="1050492866">
      <w:bodyDiv w:val="1"/>
      <w:marLeft w:val="0"/>
      <w:marRight w:val="0"/>
      <w:marTop w:val="0"/>
      <w:marBottom w:val="0"/>
      <w:divBdr>
        <w:top w:val="none" w:sz="0" w:space="0" w:color="auto"/>
        <w:left w:val="none" w:sz="0" w:space="0" w:color="auto"/>
        <w:bottom w:val="none" w:sz="0" w:space="0" w:color="auto"/>
        <w:right w:val="none" w:sz="0" w:space="0" w:color="auto"/>
      </w:divBdr>
      <w:divsChild>
        <w:div w:id="1056006577">
          <w:marLeft w:val="0"/>
          <w:marRight w:val="0"/>
          <w:marTop w:val="0"/>
          <w:marBottom w:val="0"/>
          <w:divBdr>
            <w:top w:val="none" w:sz="0" w:space="0" w:color="auto"/>
            <w:left w:val="none" w:sz="0" w:space="0" w:color="auto"/>
            <w:bottom w:val="none" w:sz="0" w:space="0" w:color="auto"/>
            <w:right w:val="none" w:sz="0" w:space="0" w:color="auto"/>
          </w:divBdr>
          <w:divsChild>
            <w:div w:id="197354685">
              <w:marLeft w:val="0"/>
              <w:marRight w:val="0"/>
              <w:marTop w:val="0"/>
              <w:marBottom w:val="0"/>
              <w:divBdr>
                <w:top w:val="none" w:sz="0" w:space="0" w:color="auto"/>
                <w:left w:val="none" w:sz="0" w:space="0" w:color="auto"/>
                <w:bottom w:val="none" w:sz="0" w:space="0" w:color="auto"/>
                <w:right w:val="none" w:sz="0" w:space="0" w:color="auto"/>
              </w:divBdr>
            </w:div>
          </w:divsChild>
        </w:div>
        <w:div w:id="42801759">
          <w:marLeft w:val="0"/>
          <w:marRight w:val="255"/>
          <w:marTop w:val="0"/>
          <w:marBottom w:val="0"/>
          <w:divBdr>
            <w:top w:val="none" w:sz="0" w:space="0" w:color="auto"/>
            <w:left w:val="none" w:sz="0" w:space="0" w:color="auto"/>
            <w:bottom w:val="none" w:sz="0" w:space="0" w:color="auto"/>
            <w:right w:val="none" w:sz="0" w:space="0" w:color="auto"/>
          </w:divBdr>
          <w:divsChild>
            <w:div w:id="1510632462">
              <w:marLeft w:val="0"/>
              <w:marRight w:val="0"/>
              <w:marTop w:val="0"/>
              <w:marBottom w:val="0"/>
              <w:divBdr>
                <w:top w:val="none" w:sz="0" w:space="0" w:color="auto"/>
                <w:left w:val="none" w:sz="0" w:space="0" w:color="auto"/>
                <w:bottom w:val="none" w:sz="0" w:space="0" w:color="auto"/>
                <w:right w:val="none" w:sz="0" w:space="0" w:color="auto"/>
              </w:divBdr>
              <w:divsChild>
                <w:div w:id="2060518860">
                  <w:marLeft w:val="0"/>
                  <w:marRight w:val="0"/>
                  <w:marTop w:val="0"/>
                  <w:marBottom w:val="0"/>
                  <w:divBdr>
                    <w:top w:val="none" w:sz="0" w:space="0" w:color="auto"/>
                    <w:left w:val="none" w:sz="0" w:space="0" w:color="auto"/>
                    <w:bottom w:val="none" w:sz="0" w:space="0" w:color="auto"/>
                    <w:right w:val="none" w:sz="0" w:space="0" w:color="auto"/>
                  </w:divBdr>
                  <w:divsChild>
                    <w:div w:id="19946061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72778045">
          <w:marLeft w:val="0"/>
          <w:marRight w:val="0"/>
          <w:marTop w:val="0"/>
          <w:marBottom w:val="0"/>
          <w:divBdr>
            <w:top w:val="none" w:sz="0" w:space="0" w:color="auto"/>
            <w:left w:val="none" w:sz="0" w:space="0" w:color="auto"/>
            <w:bottom w:val="none" w:sz="0" w:space="0" w:color="auto"/>
            <w:right w:val="none" w:sz="0" w:space="0" w:color="auto"/>
          </w:divBdr>
          <w:divsChild>
            <w:div w:id="8462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6200">
      <w:bodyDiv w:val="1"/>
      <w:marLeft w:val="0"/>
      <w:marRight w:val="0"/>
      <w:marTop w:val="0"/>
      <w:marBottom w:val="0"/>
      <w:divBdr>
        <w:top w:val="none" w:sz="0" w:space="0" w:color="auto"/>
        <w:left w:val="none" w:sz="0" w:space="0" w:color="auto"/>
        <w:bottom w:val="none" w:sz="0" w:space="0" w:color="auto"/>
        <w:right w:val="none" w:sz="0" w:space="0" w:color="auto"/>
      </w:divBdr>
      <w:divsChild>
        <w:div w:id="104623674">
          <w:marLeft w:val="0"/>
          <w:marRight w:val="0"/>
          <w:marTop w:val="0"/>
          <w:marBottom w:val="0"/>
          <w:divBdr>
            <w:top w:val="none" w:sz="0" w:space="0" w:color="auto"/>
            <w:left w:val="none" w:sz="0" w:space="0" w:color="auto"/>
            <w:bottom w:val="none" w:sz="0" w:space="0" w:color="auto"/>
            <w:right w:val="none" w:sz="0" w:space="0" w:color="auto"/>
          </w:divBdr>
          <w:divsChild>
            <w:div w:id="1453474177">
              <w:marLeft w:val="0"/>
              <w:marRight w:val="0"/>
              <w:marTop w:val="0"/>
              <w:marBottom w:val="0"/>
              <w:divBdr>
                <w:top w:val="none" w:sz="0" w:space="0" w:color="auto"/>
                <w:left w:val="none" w:sz="0" w:space="0" w:color="auto"/>
                <w:bottom w:val="none" w:sz="0" w:space="0" w:color="auto"/>
                <w:right w:val="none" w:sz="0" w:space="0" w:color="auto"/>
              </w:divBdr>
            </w:div>
          </w:divsChild>
        </w:div>
        <w:div w:id="1010835895">
          <w:marLeft w:val="0"/>
          <w:marRight w:val="255"/>
          <w:marTop w:val="0"/>
          <w:marBottom w:val="0"/>
          <w:divBdr>
            <w:top w:val="none" w:sz="0" w:space="0" w:color="auto"/>
            <w:left w:val="none" w:sz="0" w:space="0" w:color="auto"/>
            <w:bottom w:val="none" w:sz="0" w:space="0" w:color="auto"/>
            <w:right w:val="none" w:sz="0" w:space="0" w:color="auto"/>
          </w:divBdr>
          <w:divsChild>
            <w:div w:id="77792611">
              <w:marLeft w:val="0"/>
              <w:marRight w:val="0"/>
              <w:marTop w:val="0"/>
              <w:marBottom w:val="0"/>
              <w:divBdr>
                <w:top w:val="none" w:sz="0" w:space="0" w:color="auto"/>
                <w:left w:val="none" w:sz="0" w:space="0" w:color="auto"/>
                <w:bottom w:val="none" w:sz="0" w:space="0" w:color="auto"/>
                <w:right w:val="none" w:sz="0" w:space="0" w:color="auto"/>
              </w:divBdr>
              <w:divsChild>
                <w:div w:id="2089843003">
                  <w:marLeft w:val="0"/>
                  <w:marRight w:val="0"/>
                  <w:marTop w:val="0"/>
                  <w:marBottom w:val="0"/>
                  <w:divBdr>
                    <w:top w:val="none" w:sz="0" w:space="0" w:color="auto"/>
                    <w:left w:val="none" w:sz="0" w:space="0" w:color="auto"/>
                    <w:bottom w:val="none" w:sz="0" w:space="0" w:color="auto"/>
                    <w:right w:val="none" w:sz="0" w:space="0" w:color="auto"/>
                  </w:divBdr>
                  <w:divsChild>
                    <w:div w:id="14588334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35803044">
          <w:marLeft w:val="0"/>
          <w:marRight w:val="0"/>
          <w:marTop w:val="0"/>
          <w:marBottom w:val="0"/>
          <w:divBdr>
            <w:top w:val="none" w:sz="0" w:space="0" w:color="auto"/>
            <w:left w:val="none" w:sz="0" w:space="0" w:color="auto"/>
            <w:bottom w:val="none" w:sz="0" w:space="0" w:color="auto"/>
            <w:right w:val="none" w:sz="0" w:space="0" w:color="auto"/>
          </w:divBdr>
          <w:divsChild>
            <w:div w:id="18782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0458">
      <w:bodyDiv w:val="1"/>
      <w:marLeft w:val="0"/>
      <w:marRight w:val="0"/>
      <w:marTop w:val="0"/>
      <w:marBottom w:val="0"/>
      <w:divBdr>
        <w:top w:val="none" w:sz="0" w:space="0" w:color="auto"/>
        <w:left w:val="none" w:sz="0" w:space="0" w:color="auto"/>
        <w:bottom w:val="none" w:sz="0" w:space="0" w:color="auto"/>
        <w:right w:val="none" w:sz="0" w:space="0" w:color="auto"/>
      </w:divBdr>
      <w:divsChild>
        <w:div w:id="23331174">
          <w:marLeft w:val="0"/>
          <w:marRight w:val="0"/>
          <w:marTop w:val="0"/>
          <w:marBottom w:val="0"/>
          <w:divBdr>
            <w:top w:val="none" w:sz="0" w:space="0" w:color="auto"/>
            <w:left w:val="none" w:sz="0" w:space="0" w:color="auto"/>
            <w:bottom w:val="none" w:sz="0" w:space="0" w:color="auto"/>
            <w:right w:val="none" w:sz="0" w:space="0" w:color="auto"/>
          </w:divBdr>
          <w:divsChild>
            <w:div w:id="918559636">
              <w:marLeft w:val="0"/>
              <w:marRight w:val="0"/>
              <w:marTop w:val="0"/>
              <w:marBottom w:val="0"/>
              <w:divBdr>
                <w:top w:val="none" w:sz="0" w:space="0" w:color="auto"/>
                <w:left w:val="none" w:sz="0" w:space="0" w:color="auto"/>
                <w:bottom w:val="none" w:sz="0" w:space="0" w:color="auto"/>
                <w:right w:val="none" w:sz="0" w:space="0" w:color="auto"/>
              </w:divBdr>
            </w:div>
          </w:divsChild>
        </w:div>
        <w:div w:id="386924872">
          <w:marLeft w:val="0"/>
          <w:marRight w:val="255"/>
          <w:marTop w:val="0"/>
          <w:marBottom w:val="0"/>
          <w:divBdr>
            <w:top w:val="none" w:sz="0" w:space="0" w:color="auto"/>
            <w:left w:val="none" w:sz="0" w:space="0" w:color="auto"/>
            <w:bottom w:val="none" w:sz="0" w:space="0" w:color="auto"/>
            <w:right w:val="none" w:sz="0" w:space="0" w:color="auto"/>
          </w:divBdr>
          <w:divsChild>
            <w:div w:id="808128961">
              <w:marLeft w:val="0"/>
              <w:marRight w:val="0"/>
              <w:marTop w:val="0"/>
              <w:marBottom w:val="0"/>
              <w:divBdr>
                <w:top w:val="none" w:sz="0" w:space="0" w:color="auto"/>
                <w:left w:val="none" w:sz="0" w:space="0" w:color="auto"/>
                <w:bottom w:val="none" w:sz="0" w:space="0" w:color="auto"/>
                <w:right w:val="none" w:sz="0" w:space="0" w:color="auto"/>
              </w:divBdr>
              <w:divsChild>
                <w:div w:id="1167744304">
                  <w:marLeft w:val="0"/>
                  <w:marRight w:val="0"/>
                  <w:marTop w:val="0"/>
                  <w:marBottom w:val="0"/>
                  <w:divBdr>
                    <w:top w:val="none" w:sz="0" w:space="0" w:color="auto"/>
                    <w:left w:val="none" w:sz="0" w:space="0" w:color="auto"/>
                    <w:bottom w:val="none" w:sz="0" w:space="0" w:color="auto"/>
                    <w:right w:val="none" w:sz="0" w:space="0" w:color="auto"/>
                  </w:divBdr>
                  <w:divsChild>
                    <w:div w:id="5878896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79093985">
          <w:marLeft w:val="0"/>
          <w:marRight w:val="0"/>
          <w:marTop w:val="0"/>
          <w:marBottom w:val="0"/>
          <w:divBdr>
            <w:top w:val="none" w:sz="0" w:space="0" w:color="auto"/>
            <w:left w:val="none" w:sz="0" w:space="0" w:color="auto"/>
            <w:bottom w:val="none" w:sz="0" w:space="0" w:color="auto"/>
            <w:right w:val="none" w:sz="0" w:space="0" w:color="auto"/>
          </w:divBdr>
          <w:divsChild>
            <w:div w:id="7693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3073">
      <w:bodyDiv w:val="1"/>
      <w:marLeft w:val="0"/>
      <w:marRight w:val="0"/>
      <w:marTop w:val="0"/>
      <w:marBottom w:val="0"/>
      <w:divBdr>
        <w:top w:val="none" w:sz="0" w:space="0" w:color="auto"/>
        <w:left w:val="none" w:sz="0" w:space="0" w:color="auto"/>
        <w:bottom w:val="none" w:sz="0" w:space="0" w:color="auto"/>
        <w:right w:val="none" w:sz="0" w:space="0" w:color="auto"/>
      </w:divBdr>
    </w:div>
    <w:div w:id="1112824147">
      <w:bodyDiv w:val="1"/>
      <w:marLeft w:val="0"/>
      <w:marRight w:val="0"/>
      <w:marTop w:val="0"/>
      <w:marBottom w:val="0"/>
      <w:divBdr>
        <w:top w:val="none" w:sz="0" w:space="0" w:color="auto"/>
        <w:left w:val="none" w:sz="0" w:space="0" w:color="auto"/>
        <w:bottom w:val="none" w:sz="0" w:space="0" w:color="auto"/>
        <w:right w:val="none" w:sz="0" w:space="0" w:color="auto"/>
      </w:divBdr>
    </w:div>
    <w:div w:id="1135876654">
      <w:bodyDiv w:val="1"/>
      <w:marLeft w:val="0"/>
      <w:marRight w:val="0"/>
      <w:marTop w:val="0"/>
      <w:marBottom w:val="0"/>
      <w:divBdr>
        <w:top w:val="none" w:sz="0" w:space="0" w:color="auto"/>
        <w:left w:val="none" w:sz="0" w:space="0" w:color="auto"/>
        <w:bottom w:val="none" w:sz="0" w:space="0" w:color="auto"/>
        <w:right w:val="none" w:sz="0" w:space="0" w:color="auto"/>
      </w:divBdr>
      <w:divsChild>
        <w:div w:id="541093315">
          <w:marLeft w:val="0"/>
          <w:marRight w:val="0"/>
          <w:marTop w:val="0"/>
          <w:marBottom w:val="0"/>
          <w:divBdr>
            <w:top w:val="none" w:sz="0" w:space="0" w:color="auto"/>
            <w:left w:val="none" w:sz="0" w:space="0" w:color="auto"/>
            <w:bottom w:val="none" w:sz="0" w:space="0" w:color="auto"/>
            <w:right w:val="none" w:sz="0" w:space="0" w:color="auto"/>
          </w:divBdr>
          <w:divsChild>
            <w:div w:id="678117441">
              <w:marLeft w:val="0"/>
              <w:marRight w:val="0"/>
              <w:marTop w:val="0"/>
              <w:marBottom w:val="0"/>
              <w:divBdr>
                <w:top w:val="none" w:sz="0" w:space="0" w:color="auto"/>
                <w:left w:val="none" w:sz="0" w:space="0" w:color="auto"/>
                <w:bottom w:val="none" w:sz="0" w:space="0" w:color="auto"/>
                <w:right w:val="none" w:sz="0" w:space="0" w:color="auto"/>
              </w:divBdr>
            </w:div>
          </w:divsChild>
        </w:div>
        <w:div w:id="1497723615">
          <w:marLeft w:val="0"/>
          <w:marRight w:val="255"/>
          <w:marTop w:val="0"/>
          <w:marBottom w:val="0"/>
          <w:divBdr>
            <w:top w:val="none" w:sz="0" w:space="0" w:color="auto"/>
            <w:left w:val="none" w:sz="0" w:space="0" w:color="auto"/>
            <w:bottom w:val="none" w:sz="0" w:space="0" w:color="auto"/>
            <w:right w:val="none" w:sz="0" w:space="0" w:color="auto"/>
          </w:divBdr>
          <w:divsChild>
            <w:div w:id="101807114">
              <w:marLeft w:val="0"/>
              <w:marRight w:val="0"/>
              <w:marTop w:val="0"/>
              <w:marBottom w:val="0"/>
              <w:divBdr>
                <w:top w:val="none" w:sz="0" w:space="0" w:color="auto"/>
                <w:left w:val="none" w:sz="0" w:space="0" w:color="auto"/>
                <w:bottom w:val="none" w:sz="0" w:space="0" w:color="auto"/>
                <w:right w:val="none" w:sz="0" w:space="0" w:color="auto"/>
              </w:divBdr>
              <w:divsChild>
                <w:div w:id="501697641">
                  <w:marLeft w:val="0"/>
                  <w:marRight w:val="0"/>
                  <w:marTop w:val="0"/>
                  <w:marBottom w:val="0"/>
                  <w:divBdr>
                    <w:top w:val="none" w:sz="0" w:space="0" w:color="auto"/>
                    <w:left w:val="none" w:sz="0" w:space="0" w:color="auto"/>
                    <w:bottom w:val="none" w:sz="0" w:space="0" w:color="auto"/>
                    <w:right w:val="none" w:sz="0" w:space="0" w:color="auto"/>
                  </w:divBdr>
                  <w:divsChild>
                    <w:div w:id="20645951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37178394">
          <w:marLeft w:val="0"/>
          <w:marRight w:val="0"/>
          <w:marTop w:val="0"/>
          <w:marBottom w:val="0"/>
          <w:divBdr>
            <w:top w:val="none" w:sz="0" w:space="0" w:color="auto"/>
            <w:left w:val="none" w:sz="0" w:space="0" w:color="auto"/>
            <w:bottom w:val="none" w:sz="0" w:space="0" w:color="auto"/>
            <w:right w:val="none" w:sz="0" w:space="0" w:color="auto"/>
          </w:divBdr>
          <w:divsChild>
            <w:div w:id="910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893">
      <w:bodyDiv w:val="1"/>
      <w:marLeft w:val="0"/>
      <w:marRight w:val="0"/>
      <w:marTop w:val="0"/>
      <w:marBottom w:val="0"/>
      <w:divBdr>
        <w:top w:val="none" w:sz="0" w:space="0" w:color="auto"/>
        <w:left w:val="none" w:sz="0" w:space="0" w:color="auto"/>
        <w:bottom w:val="none" w:sz="0" w:space="0" w:color="auto"/>
        <w:right w:val="none" w:sz="0" w:space="0" w:color="auto"/>
      </w:divBdr>
    </w:div>
    <w:div w:id="1207134410">
      <w:bodyDiv w:val="1"/>
      <w:marLeft w:val="0"/>
      <w:marRight w:val="0"/>
      <w:marTop w:val="0"/>
      <w:marBottom w:val="0"/>
      <w:divBdr>
        <w:top w:val="none" w:sz="0" w:space="0" w:color="auto"/>
        <w:left w:val="none" w:sz="0" w:space="0" w:color="auto"/>
        <w:bottom w:val="none" w:sz="0" w:space="0" w:color="auto"/>
        <w:right w:val="none" w:sz="0" w:space="0" w:color="auto"/>
      </w:divBdr>
    </w:div>
    <w:div w:id="1241908724">
      <w:bodyDiv w:val="1"/>
      <w:marLeft w:val="0"/>
      <w:marRight w:val="0"/>
      <w:marTop w:val="0"/>
      <w:marBottom w:val="0"/>
      <w:divBdr>
        <w:top w:val="none" w:sz="0" w:space="0" w:color="auto"/>
        <w:left w:val="none" w:sz="0" w:space="0" w:color="auto"/>
        <w:bottom w:val="none" w:sz="0" w:space="0" w:color="auto"/>
        <w:right w:val="none" w:sz="0" w:space="0" w:color="auto"/>
      </w:divBdr>
    </w:div>
    <w:div w:id="1244029565">
      <w:bodyDiv w:val="1"/>
      <w:marLeft w:val="0"/>
      <w:marRight w:val="0"/>
      <w:marTop w:val="0"/>
      <w:marBottom w:val="0"/>
      <w:divBdr>
        <w:top w:val="none" w:sz="0" w:space="0" w:color="auto"/>
        <w:left w:val="none" w:sz="0" w:space="0" w:color="auto"/>
        <w:bottom w:val="none" w:sz="0" w:space="0" w:color="auto"/>
        <w:right w:val="none" w:sz="0" w:space="0" w:color="auto"/>
      </w:divBdr>
    </w:div>
    <w:div w:id="1268389419">
      <w:bodyDiv w:val="1"/>
      <w:marLeft w:val="0"/>
      <w:marRight w:val="0"/>
      <w:marTop w:val="0"/>
      <w:marBottom w:val="0"/>
      <w:divBdr>
        <w:top w:val="none" w:sz="0" w:space="0" w:color="auto"/>
        <w:left w:val="none" w:sz="0" w:space="0" w:color="auto"/>
        <w:bottom w:val="none" w:sz="0" w:space="0" w:color="auto"/>
        <w:right w:val="none" w:sz="0" w:space="0" w:color="auto"/>
      </w:divBdr>
    </w:div>
    <w:div w:id="1284538075">
      <w:bodyDiv w:val="1"/>
      <w:marLeft w:val="0"/>
      <w:marRight w:val="0"/>
      <w:marTop w:val="0"/>
      <w:marBottom w:val="0"/>
      <w:divBdr>
        <w:top w:val="none" w:sz="0" w:space="0" w:color="auto"/>
        <w:left w:val="none" w:sz="0" w:space="0" w:color="auto"/>
        <w:bottom w:val="none" w:sz="0" w:space="0" w:color="auto"/>
        <w:right w:val="none" w:sz="0" w:space="0" w:color="auto"/>
      </w:divBdr>
      <w:divsChild>
        <w:div w:id="1342664104">
          <w:marLeft w:val="0"/>
          <w:marRight w:val="0"/>
          <w:marTop w:val="0"/>
          <w:marBottom w:val="300"/>
          <w:divBdr>
            <w:top w:val="none" w:sz="0" w:space="0" w:color="auto"/>
            <w:left w:val="none" w:sz="0" w:space="0" w:color="auto"/>
            <w:bottom w:val="dotted" w:sz="6" w:space="5" w:color="DDDDDD"/>
            <w:right w:val="none" w:sz="0" w:space="0" w:color="auto"/>
          </w:divBdr>
        </w:div>
        <w:div w:id="12535548">
          <w:marLeft w:val="0"/>
          <w:marRight w:val="0"/>
          <w:marTop w:val="240"/>
          <w:marBottom w:val="240"/>
          <w:divBdr>
            <w:top w:val="none" w:sz="0" w:space="0" w:color="auto"/>
            <w:left w:val="none" w:sz="0" w:space="0" w:color="auto"/>
            <w:bottom w:val="none" w:sz="0" w:space="0" w:color="auto"/>
            <w:right w:val="none" w:sz="0" w:space="0" w:color="auto"/>
          </w:divBdr>
          <w:divsChild>
            <w:div w:id="18198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44173">
      <w:bodyDiv w:val="1"/>
      <w:marLeft w:val="0"/>
      <w:marRight w:val="0"/>
      <w:marTop w:val="0"/>
      <w:marBottom w:val="0"/>
      <w:divBdr>
        <w:top w:val="none" w:sz="0" w:space="0" w:color="auto"/>
        <w:left w:val="none" w:sz="0" w:space="0" w:color="auto"/>
        <w:bottom w:val="none" w:sz="0" w:space="0" w:color="auto"/>
        <w:right w:val="none" w:sz="0" w:space="0" w:color="auto"/>
      </w:divBdr>
    </w:div>
    <w:div w:id="1296637880">
      <w:bodyDiv w:val="1"/>
      <w:marLeft w:val="0"/>
      <w:marRight w:val="0"/>
      <w:marTop w:val="0"/>
      <w:marBottom w:val="0"/>
      <w:divBdr>
        <w:top w:val="none" w:sz="0" w:space="0" w:color="auto"/>
        <w:left w:val="none" w:sz="0" w:space="0" w:color="auto"/>
        <w:bottom w:val="none" w:sz="0" w:space="0" w:color="auto"/>
        <w:right w:val="none" w:sz="0" w:space="0" w:color="auto"/>
      </w:divBdr>
    </w:div>
    <w:div w:id="1310985802">
      <w:bodyDiv w:val="1"/>
      <w:marLeft w:val="0"/>
      <w:marRight w:val="0"/>
      <w:marTop w:val="0"/>
      <w:marBottom w:val="0"/>
      <w:divBdr>
        <w:top w:val="none" w:sz="0" w:space="0" w:color="auto"/>
        <w:left w:val="none" w:sz="0" w:space="0" w:color="auto"/>
        <w:bottom w:val="none" w:sz="0" w:space="0" w:color="auto"/>
        <w:right w:val="none" w:sz="0" w:space="0" w:color="auto"/>
      </w:divBdr>
    </w:div>
    <w:div w:id="1318879153">
      <w:bodyDiv w:val="1"/>
      <w:marLeft w:val="0"/>
      <w:marRight w:val="0"/>
      <w:marTop w:val="0"/>
      <w:marBottom w:val="0"/>
      <w:divBdr>
        <w:top w:val="none" w:sz="0" w:space="0" w:color="auto"/>
        <w:left w:val="none" w:sz="0" w:space="0" w:color="auto"/>
        <w:bottom w:val="none" w:sz="0" w:space="0" w:color="auto"/>
        <w:right w:val="none" w:sz="0" w:space="0" w:color="auto"/>
      </w:divBdr>
      <w:divsChild>
        <w:div w:id="394013558">
          <w:marLeft w:val="0"/>
          <w:marRight w:val="0"/>
          <w:marTop w:val="0"/>
          <w:marBottom w:val="0"/>
          <w:divBdr>
            <w:top w:val="none" w:sz="0" w:space="0" w:color="auto"/>
            <w:left w:val="none" w:sz="0" w:space="0" w:color="auto"/>
            <w:bottom w:val="none" w:sz="0" w:space="0" w:color="auto"/>
            <w:right w:val="none" w:sz="0" w:space="0" w:color="auto"/>
          </w:divBdr>
          <w:divsChild>
            <w:div w:id="654528228">
              <w:marLeft w:val="0"/>
              <w:marRight w:val="0"/>
              <w:marTop w:val="0"/>
              <w:marBottom w:val="0"/>
              <w:divBdr>
                <w:top w:val="none" w:sz="0" w:space="0" w:color="auto"/>
                <w:left w:val="none" w:sz="0" w:space="0" w:color="auto"/>
                <w:bottom w:val="none" w:sz="0" w:space="0" w:color="auto"/>
                <w:right w:val="none" w:sz="0" w:space="0" w:color="auto"/>
              </w:divBdr>
            </w:div>
          </w:divsChild>
        </w:div>
        <w:div w:id="917178973">
          <w:marLeft w:val="0"/>
          <w:marRight w:val="255"/>
          <w:marTop w:val="0"/>
          <w:marBottom w:val="0"/>
          <w:divBdr>
            <w:top w:val="none" w:sz="0" w:space="0" w:color="auto"/>
            <w:left w:val="none" w:sz="0" w:space="0" w:color="auto"/>
            <w:bottom w:val="none" w:sz="0" w:space="0" w:color="auto"/>
            <w:right w:val="none" w:sz="0" w:space="0" w:color="auto"/>
          </w:divBdr>
          <w:divsChild>
            <w:div w:id="812064641">
              <w:marLeft w:val="0"/>
              <w:marRight w:val="0"/>
              <w:marTop w:val="0"/>
              <w:marBottom w:val="0"/>
              <w:divBdr>
                <w:top w:val="none" w:sz="0" w:space="0" w:color="auto"/>
                <w:left w:val="none" w:sz="0" w:space="0" w:color="auto"/>
                <w:bottom w:val="none" w:sz="0" w:space="0" w:color="auto"/>
                <w:right w:val="none" w:sz="0" w:space="0" w:color="auto"/>
              </w:divBdr>
              <w:divsChild>
                <w:div w:id="53821923">
                  <w:marLeft w:val="0"/>
                  <w:marRight w:val="0"/>
                  <w:marTop w:val="0"/>
                  <w:marBottom w:val="0"/>
                  <w:divBdr>
                    <w:top w:val="none" w:sz="0" w:space="0" w:color="auto"/>
                    <w:left w:val="none" w:sz="0" w:space="0" w:color="auto"/>
                    <w:bottom w:val="none" w:sz="0" w:space="0" w:color="auto"/>
                    <w:right w:val="none" w:sz="0" w:space="0" w:color="auto"/>
                  </w:divBdr>
                  <w:divsChild>
                    <w:div w:id="13750783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48715082">
          <w:marLeft w:val="0"/>
          <w:marRight w:val="0"/>
          <w:marTop w:val="0"/>
          <w:marBottom w:val="0"/>
          <w:divBdr>
            <w:top w:val="none" w:sz="0" w:space="0" w:color="auto"/>
            <w:left w:val="none" w:sz="0" w:space="0" w:color="auto"/>
            <w:bottom w:val="none" w:sz="0" w:space="0" w:color="auto"/>
            <w:right w:val="none" w:sz="0" w:space="0" w:color="auto"/>
          </w:divBdr>
          <w:divsChild>
            <w:div w:id="3295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7198">
      <w:bodyDiv w:val="1"/>
      <w:marLeft w:val="0"/>
      <w:marRight w:val="0"/>
      <w:marTop w:val="0"/>
      <w:marBottom w:val="0"/>
      <w:divBdr>
        <w:top w:val="none" w:sz="0" w:space="0" w:color="auto"/>
        <w:left w:val="none" w:sz="0" w:space="0" w:color="auto"/>
        <w:bottom w:val="none" w:sz="0" w:space="0" w:color="auto"/>
        <w:right w:val="none" w:sz="0" w:space="0" w:color="auto"/>
      </w:divBdr>
    </w:div>
    <w:div w:id="1352996902">
      <w:bodyDiv w:val="1"/>
      <w:marLeft w:val="0"/>
      <w:marRight w:val="0"/>
      <w:marTop w:val="0"/>
      <w:marBottom w:val="0"/>
      <w:divBdr>
        <w:top w:val="none" w:sz="0" w:space="0" w:color="auto"/>
        <w:left w:val="none" w:sz="0" w:space="0" w:color="auto"/>
        <w:bottom w:val="none" w:sz="0" w:space="0" w:color="auto"/>
        <w:right w:val="none" w:sz="0" w:space="0" w:color="auto"/>
      </w:divBdr>
    </w:div>
    <w:div w:id="1355035419">
      <w:bodyDiv w:val="1"/>
      <w:marLeft w:val="0"/>
      <w:marRight w:val="0"/>
      <w:marTop w:val="0"/>
      <w:marBottom w:val="0"/>
      <w:divBdr>
        <w:top w:val="none" w:sz="0" w:space="0" w:color="auto"/>
        <w:left w:val="none" w:sz="0" w:space="0" w:color="auto"/>
        <w:bottom w:val="none" w:sz="0" w:space="0" w:color="auto"/>
        <w:right w:val="none" w:sz="0" w:space="0" w:color="auto"/>
      </w:divBdr>
    </w:div>
    <w:div w:id="1365448104">
      <w:bodyDiv w:val="1"/>
      <w:marLeft w:val="0"/>
      <w:marRight w:val="0"/>
      <w:marTop w:val="0"/>
      <w:marBottom w:val="0"/>
      <w:divBdr>
        <w:top w:val="none" w:sz="0" w:space="0" w:color="auto"/>
        <w:left w:val="none" w:sz="0" w:space="0" w:color="auto"/>
        <w:bottom w:val="none" w:sz="0" w:space="0" w:color="auto"/>
        <w:right w:val="none" w:sz="0" w:space="0" w:color="auto"/>
      </w:divBdr>
    </w:div>
    <w:div w:id="1382050850">
      <w:bodyDiv w:val="1"/>
      <w:marLeft w:val="0"/>
      <w:marRight w:val="0"/>
      <w:marTop w:val="0"/>
      <w:marBottom w:val="0"/>
      <w:divBdr>
        <w:top w:val="none" w:sz="0" w:space="0" w:color="auto"/>
        <w:left w:val="none" w:sz="0" w:space="0" w:color="auto"/>
        <w:bottom w:val="none" w:sz="0" w:space="0" w:color="auto"/>
        <w:right w:val="none" w:sz="0" w:space="0" w:color="auto"/>
      </w:divBdr>
    </w:div>
    <w:div w:id="1412702396">
      <w:bodyDiv w:val="1"/>
      <w:marLeft w:val="0"/>
      <w:marRight w:val="0"/>
      <w:marTop w:val="0"/>
      <w:marBottom w:val="0"/>
      <w:divBdr>
        <w:top w:val="none" w:sz="0" w:space="0" w:color="auto"/>
        <w:left w:val="none" w:sz="0" w:space="0" w:color="auto"/>
        <w:bottom w:val="none" w:sz="0" w:space="0" w:color="auto"/>
        <w:right w:val="none" w:sz="0" w:space="0" w:color="auto"/>
      </w:divBdr>
    </w:div>
    <w:div w:id="1427144476">
      <w:bodyDiv w:val="1"/>
      <w:marLeft w:val="0"/>
      <w:marRight w:val="0"/>
      <w:marTop w:val="0"/>
      <w:marBottom w:val="0"/>
      <w:divBdr>
        <w:top w:val="none" w:sz="0" w:space="0" w:color="auto"/>
        <w:left w:val="none" w:sz="0" w:space="0" w:color="auto"/>
        <w:bottom w:val="none" w:sz="0" w:space="0" w:color="auto"/>
        <w:right w:val="none" w:sz="0" w:space="0" w:color="auto"/>
      </w:divBdr>
    </w:div>
    <w:div w:id="1446654290">
      <w:bodyDiv w:val="1"/>
      <w:marLeft w:val="0"/>
      <w:marRight w:val="0"/>
      <w:marTop w:val="0"/>
      <w:marBottom w:val="0"/>
      <w:divBdr>
        <w:top w:val="none" w:sz="0" w:space="0" w:color="auto"/>
        <w:left w:val="none" w:sz="0" w:space="0" w:color="auto"/>
        <w:bottom w:val="none" w:sz="0" w:space="0" w:color="auto"/>
        <w:right w:val="none" w:sz="0" w:space="0" w:color="auto"/>
      </w:divBdr>
    </w:div>
    <w:div w:id="1447315349">
      <w:bodyDiv w:val="1"/>
      <w:marLeft w:val="0"/>
      <w:marRight w:val="0"/>
      <w:marTop w:val="0"/>
      <w:marBottom w:val="0"/>
      <w:divBdr>
        <w:top w:val="none" w:sz="0" w:space="0" w:color="auto"/>
        <w:left w:val="none" w:sz="0" w:space="0" w:color="auto"/>
        <w:bottom w:val="none" w:sz="0" w:space="0" w:color="auto"/>
        <w:right w:val="none" w:sz="0" w:space="0" w:color="auto"/>
      </w:divBdr>
    </w:div>
    <w:div w:id="1452937511">
      <w:bodyDiv w:val="1"/>
      <w:marLeft w:val="0"/>
      <w:marRight w:val="0"/>
      <w:marTop w:val="0"/>
      <w:marBottom w:val="0"/>
      <w:divBdr>
        <w:top w:val="none" w:sz="0" w:space="0" w:color="auto"/>
        <w:left w:val="none" w:sz="0" w:space="0" w:color="auto"/>
        <w:bottom w:val="none" w:sz="0" w:space="0" w:color="auto"/>
        <w:right w:val="none" w:sz="0" w:space="0" w:color="auto"/>
      </w:divBdr>
    </w:div>
    <w:div w:id="1455172261">
      <w:bodyDiv w:val="1"/>
      <w:marLeft w:val="0"/>
      <w:marRight w:val="0"/>
      <w:marTop w:val="0"/>
      <w:marBottom w:val="0"/>
      <w:divBdr>
        <w:top w:val="none" w:sz="0" w:space="0" w:color="auto"/>
        <w:left w:val="none" w:sz="0" w:space="0" w:color="auto"/>
        <w:bottom w:val="none" w:sz="0" w:space="0" w:color="auto"/>
        <w:right w:val="none" w:sz="0" w:space="0" w:color="auto"/>
      </w:divBdr>
    </w:div>
    <w:div w:id="1515459859">
      <w:bodyDiv w:val="1"/>
      <w:marLeft w:val="0"/>
      <w:marRight w:val="0"/>
      <w:marTop w:val="0"/>
      <w:marBottom w:val="0"/>
      <w:divBdr>
        <w:top w:val="none" w:sz="0" w:space="0" w:color="auto"/>
        <w:left w:val="none" w:sz="0" w:space="0" w:color="auto"/>
        <w:bottom w:val="none" w:sz="0" w:space="0" w:color="auto"/>
        <w:right w:val="none" w:sz="0" w:space="0" w:color="auto"/>
      </w:divBdr>
      <w:divsChild>
        <w:div w:id="214316961">
          <w:marLeft w:val="0"/>
          <w:marRight w:val="0"/>
          <w:marTop w:val="0"/>
          <w:marBottom w:val="0"/>
          <w:divBdr>
            <w:top w:val="none" w:sz="0" w:space="0" w:color="auto"/>
            <w:left w:val="none" w:sz="0" w:space="0" w:color="auto"/>
            <w:bottom w:val="none" w:sz="0" w:space="0" w:color="auto"/>
            <w:right w:val="none" w:sz="0" w:space="0" w:color="auto"/>
          </w:divBdr>
          <w:divsChild>
            <w:div w:id="1103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996">
      <w:bodyDiv w:val="1"/>
      <w:marLeft w:val="0"/>
      <w:marRight w:val="0"/>
      <w:marTop w:val="0"/>
      <w:marBottom w:val="0"/>
      <w:divBdr>
        <w:top w:val="none" w:sz="0" w:space="0" w:color="auto"/>
        <w:left w:val="none" w:sz="0" w:space="0" w:color="auto"/>
        <w:bottom w:val="none" w:sz="0" w:space="0" w:color="auto"/>
        <w:right w:val="none" w:sz="0" w:space="0" w:color="auto"/>
      </w:divBdr>
    </w:div>
    <w:div w:id="1531916041">
      <w:bodyDiv w:val="1"/>
      <w:marLeft w:val="0"/>
      <w:marRight w:val="0"/>
      <w:marTop w:val="0"/>
      <w:marBottom w:val="0"/>
      <w:divBdr>
        <w:top w:val="none" w:sz="0" w:space="0" w:color="auto"/>
        <w:left w:val="none" w:sz="0" w:space="0" w:color="auto"/>
        <w:bottom w:val="none" w:sz="0" w:space="0" w:color="auto"/>
        <w:right w:val="none" w:sz="0" w:space="0" w:color="auto"/>
      </w:divBdr>
    </w:div>
    <w:div w:id="1558861229">
      <w:bodyDiv w:val="1"/>
      <w:marLeft w:val="0"/>
      <w:marRight w:val="0"/>
      <w:marTop w:val="0"/>
      <w:marBottom w:val="0"/>
      <w:divBdr>
        <w:top w:val="none" w:sz="0" w:space="0" w:color="auto"/>
        <w:left w:val="none" w:sz="0" w:space="0" w:color="auto"/>
        <w:bottom w:val="none" w:sz="0" w:space="0" w:color="auto"/>
        <w:right w:val="none" w:sz="0" w:space="0" w:color="auto"/>
      </w:divBdr>
    </w:div>
    <w:div w:id="1571767567">
      <w:bodyDiv w:val="1"/>
      <w:marLeft w:val="0"/>
      <w:marRight w:val="0"/>
      <w:marTop w:val="0"/>
      <w:marBottom w:val="0"/>
      <w:divBdr>
        <w:top w:val="none" w:sz="0" w:space="0" w:color="auto"/>
        <w:left w:val="none" w:sz="0" w:space="0" w:color="auto"/>
        <w:bottom w:val="none" w:sz="0" w:space="0" w:color="auto"/>
        <w:right w:val="none" w:sz="0" w:space="0" w:color="auto"/>
      </w:divBdr>
    </w:div>
    <w:div w:id="1589345244">
      <w:bodyDiv w:val="1"/>
      <w:marLeft w:val="0"/>
      <w:marRight w:val="0"/>
      <w:marTop w:val="0"/>
      <w:marBottom w:val="0"/>
      <w:divBdr>
        <w:top w:val="none" w:sz="0" w:space="0" w:color="auto"/>
        <w:left w:val="none" w:sz="0" w:space="0" w:color="auto"/>
        <w:bottom w:val="none" w:sz="0" w:space="0" w:color="auto"/>
        <w:right w:val="none" w:sz="0" w:space="0" w:color="auto"/>
      </w:divBdr>
    </w:div>
    <w:div w:id="1664777796">
      <w:bodyDiv w:val="1"/>
      <w:marLeft w:val="0"/>
      <w:marRight w:val="0"/>
      <w:marTop w:val="0"/>
      <w:marBottom w:val="0"/>
      <w:divBdr>
        <w:top w:val="none" w:sz="0" w:space="0" w:color="auto"/>
        <w:left w:val="none" w:sz="0" w:space="0" w:color="auto"/>
        <w:bottom w:val="none" w:sz="0" w:space="0" w:color="auto"/>
        <w:right w:val="none" w:sz="0" w:space="0" w:color="auto"/>
      </w:divBdr>
    </w:div>
    <w:div w:id="1669407963">
      <w:bodyDiv w:val="1"/>
      <w:marLeft w:val="0"/>
      <w:marRight w:val="0"/>
      <w:marTop w:val="0"/>
      <w:marBottom w:val="0"/>
      <w:divBdr>
        <w:top w:val="none" w:sz="0" w:space="0" w:color="auto"/>
        <w:left w:val="none" w:sz="0" w:space="0" w:color="auto"/>
        <w:bottom w:val="none" w:sz="0" w:space="0" w:color="auto"/>
        <w:right w:val="none" w:sz="0" w:space="0" w:color="auto"/>
      </w:divBdr>
    </w:div>
    <w:div w:id="1719280683">
      <w:bodyDiv w:val="1"/>
      <w:marLeft w:val="0"/>
      <w:marRight w:val="0"/>
      <w:marTop w:val="0"/>
      <w:marBottom w:val="0"/>
      <w:divBdr>
        <w:top w:val="none" w:sz="0" w:space="0" w:color="auto"/>
        <w:left w:val="none" w:sz="0" w:space="0" w:color="auto"/>
        <w:bottom w:val="none" w:sz="0" w:space="0" w:color="auto"/>
        <w:right w:val="none" w:sz="0" w:space="0" w:color="auto"/>
      </w:divBdr>
    </w:div>
    <w:div w:id="1750997169">
      <w:bodyDiv w:val="1"/>
      <w:marLeft w:val="0"/>
      <w:marRight w:val="0"/>
      <w:marTop w:val="0"/>
      <w:marBottom w:val="0"/>
      <w:divBdr>
        <w:top w:val="none" w:sz="0" w:space="0" w:color="auto"/>
        <w:left w:val="none" w:sz="0" w:space="0" w:color="auto"/>
        <w:bottom w:val="none" w:sz="0" w:space="0" w:color="auto"/>
        <w:right w:val="none" w:sz="0" w:space="0" w:color="auto"/>
      </w:divBdr>
      <w:divsChild>
        <w:div w:id="1660958206">
          <w:marLeft w:val="0"/>
          <w:marRight w:val="0"/>
          <w:marTop w:val="0"/>
          <w:marBottom w:val="0"/>
          <w:divBdr>
            <w:top w:val="none" w:sz="0" w:space="0" w:color="auto"/>
            <w:left w:val="none" w:sz="0" w:space="0" w:color="auto"/>
            <w:bottom w:val="none" w:sz="0" w:space="0" w:color="auto"/>
            <w:right w:val="none" w:sz="0" w:space="0" w:color="auto"/>
          </w:divBdr>
          <w:divsChild>
            <w:div w:id="458761188">
              <w:marLeft w:val="0"/>
              <w:marRight w:val="0"/>
              <w:marTop w:val="0"/>
              <w:marBottom w:val="0"/>
              <w:divBdr>
                <w:top w:val="none" w:sz="0" w:space="0" w:color="auto"/>
                <w:left w:val="none" w:sz="0" w:space="0" w:color="auto"/>
                <w:bottom w:val="none" w:sz="0" w:space="0" w:color="auto"/>
                <w:right w:val="none" w:sz="0" w:space="0" w:color="auto"/>
              </w:divBdr>
            </w:div>
          </w:divsChild>
        </w:div>
        <w:div w:id="1128162164">
          <w:marLeft w:val="0"/>
          <w:marRight w:val="255"/>
          <w:marTop w:val="0"/>
          <w:marBottom w:val="0"/>
          <w:divBdr>
            <w:top w:val="none" w:sz="0" w:space="0" w:color="auto"/>
            <w:left w:val="none" w:sz="0" w:space="0" w:color="auto"/>
            <w:bottom w:val="none" w:sz="0" w:space="0" w:color="auto"/>
            <w:right w:val="none" w:sz="0" w:space="0" w:color="auto"/>
          </w:divBdr>
          <w:divsChild>
            <w:div w:id="891691285">
              <w:marLeft w:val="0"/>
              <w:marRight w:val="0"/>
              <w:marTop w:val="0"/>
              <w:marBottom w:val="0"/>
              <w:divBdr>
                <w:top w:val="none" w:sz="0" w:space="0" w:color="auto"/>
                <w:left w:val="none" w:sz="0" w:space="0" w:color="auto"/>
                <w:bottom w:val="none" w:sz="0" w:space="0" w:color="auto"/>
                <w:right w:val="none" w:sz="0" w:space="0" w:color="auto"/>
              </w:divBdr>
              <w:divsChild>
                <w:div w:id="1704357550">
                  <w:marLeft w:val="0"/>
                  <w:marRight w:val="0"/>
                  <w:marTop w:val="0"/>
                  <w:marBottom w:val="0"/>
                  <w:divBdr>
                    <w:top w:val="none" w:sz="0" w:space="0" w:color="auto"/>
                    <w:left w:val="none" w:sz="0" w:space="0" w:color="auto"/>
                    <w:bottom w:val="none" w:sz="0" w:space="0" w:color="auto"/>
                    <w:right w:val="none" w:sz="0" w:space="0" w:color="auto"/>
                  </w:divBdr>
                  <w:divsChild>
                    <w:div w:id="1875146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14398901">
          <w:marLeft w:val="0"/>
          <w:marRight w:val="0"/>
          <w:marTop w:val="0"/>
          <w:marBottom w:val="0"/>
          <w:divBdr>
            <w:top w:val="none" w:sz="0" w:space="0" w:color="auto"/>
            <w:left w:val="none" w:sz="0" w:space="0" w:color="auto"/>
            <w:bottom w:val="none" w:sz="0" w:space="0" w:color="auto"/>
            <w:right w:val="none" w:sz="0" w:space="0" w:color="auto"/>
          </w:divBdr>
          <w:divsChild>
            <w:div w:id="2339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30659">
      <w:bodyDiv w:val="1"/>
      <w:marLeft w:val="0"/>
      <w:marRight w:val="0"/>
      <w:marTop w:val="0"/>
      <w:marBottom w:val="0"/>
      <w:divBdr>
        <w:top w:val="none" w:sz="0" w:space="0" w:color="auto"/>
        <w:left w:val="none" w:sz="0" w:space="0" w:color="auto"/>
        <w:bottom w:val="none" w:sz="0" w:space="0" w:color="auto"/>
        <w:right w:val="none" w:sz="0" w:space="0" w:color="auto"/>
      </w:divBdr>
    </w:div>
    <w:div w:id="1792943545">
      <w:bodyDiv w:val="1"/>
      <w:marLeft w:val="0"/>
      <w:marRight w:val="0"/>
      <w:marTop w:val="0"/>
      <w:marBottom w:val="0"/>
      <w:divBdr>
        <w:top w:val="none" w:sz="0" w:space="0" w:color="auto"/>
        <w:left w:val="none" w:sz="0" w:space="0" w:color="auto"/>
        <w:bottom w:val="none" w:sz="0" w:space="0" w:color="auto"/>
        <w:right w:val="none" w:sz="0" w:space="0" w:color="auto"/>
      </w:divBdr>
    </w:div>
    <w:div w:id="1798451996">
      <w:bodyDiv w:val="1"/>
      <w:marLeft w:val="0"/>
      <w:marRight w:val="0"/>
      <w:marTop w:val="0"/>
      <w:marBottom w:val="0"/>
      <w:divBdr>
        <w:top w:val="none" w:sz="0" w:space="0" w:color="auto"/>
        <w:left w:val="none" w:sz="0" w:space="0" w:color="auto"/>
        <w:bottom w:val="none" w:sz="0" w:space="0" w:color="auto"/>
        <w:right w:val="none" w:sz="0" w:space="0" w:color="auto"/>
      </w:divBdr>
    </w:div>
    <w:div w:id="1828478787">
      <w:bodyDiv w:val="1"/>
      <w:marLeft w:val="0"/>
      <w:marRight w:val="0"/>
      <w:marTop w:val="0"/>
      <w:marBottom w:val="0"/>
      <w:divBdr>
        <w:top w:val="none" w:sz="0" w:space="0" w:color="auto"/>
        <w:left w:val="none" w:sz="0" w:space="0" w:color="auto"/>
        <w:bottom w:val="none" w:sz="0" w:space="0" w:color="auto"/>
        <w:right w:val="none" w:sz="0" w:space="0" w:color="auto"/>
      </w:divBdr>
    </w:div>
    <w:div w:id="1828786139">
      <w:bodyDiv w:val="1"/>
      <w:marLeft w:val="0"/>
      <w:marRight w:val="0"/>
      <w:marTop w:val="0"/>
      <w:marBottom w:val="0"/>
      <w:divBdr>
        <w:top w:val="none" w:sz="0" w:space="0" w:color="auto"/>
        <w:left w:val="none" w:sz="0" w:space="0" w:color="auto"/>
        <w:bottom w:val="none" w:sz="0" w:space="0" w:color="auto"/>
        <w:right w:val="none" w:sz="0" w:space="0" w:color="auto"/>
      </w:divBdr>
    </w:div>
    <w:div w:id="1829708576">
      <w:bodyDiv w:val="1"/>
      <w:marLeft w:val="0"/>
      <w:marRight w:val="0"/>
      <w:marTop w:val="0"/>
      <w:marBottom w:val="0"/>
      <w:divBdr>
        <w:top w:val="none" w:sz="0" w:space="0" w:color="auto"/>
        <w:left w:val="none" w:sz="0" w:space="0" w:color="auto"/>
        <w:bottom w:val="none" w:sz="0" w:space="0" w:color="auto"/>
        <w:right w:val="none" w:sz="0" w:space="0" w:color="auto"/>
      </w:divBdr>
    </w:div>
    <w:div w:id="1851873328">
      <w:bodyDiv w:val="1"/>
      <w:marLeft w:val="0"/>
      <w:marRight w:val="0"/>
      <w:marTop w:val="0"/>
      <w:marBottom w:val="0"/>
      <w:divBdr>
        <w:top w:val="none" w:sz="0" w:space="0" w:color="auto"/>
        <w:left w:val="none" w:sz="0" w:space="0" w:color="auto"/>
        <w:bottom w:val="none" w:sz="0" w:space="0" w:color="auto"/>
        <w:right w:val="none" w:sz="0" w:space="0" w:color="auto"/>
      </w:divBdr>
    </w:div>
    <w:div w:id="1866749821">
      <w:bodyDiv w:val="1"/>
      <w:marLeft w:val="0"/>
      <w:marRight w:val="0"/>
      <w:marTop w:val="0"/>
      <w:marBottom w:val="0"/>
      <w:divBdr>
        <w:top w:val="none" w:sz="0" w:space="0" w:color="auto"/>
        <w:left w:val="none" w:sz="0" w:space="0" w:color="auto"/>
        <w:bottom w:val="none" w:sz="0" w:space="0" w:color="auto"/>
        <w:right w:val="none" w:sz="0" w:space="0" w:color="auto"/>
      </w:divBdr>
    </w:div>
    <w:div w:id="1898122181">
      <w:bodyDiv w:val="1"/>
      <w:marLeft w:val="0"/>
      <w:marRight w:val="0"/>
      <w:marTop w:val="0"/>
      <w:marBottom w:val="0"/>
      <w:divBdr>
        <w:top w:val="none" w:sz="0" w:space="0" w:color="auto"/>
        <w:left w:val="none" w:sz="0" w:space="0" w:color="auto"/>
        <w:bottom w:val="none" w:sz="0" w:space="0" w:color="auto"/>
        <w:right w:val="none" w:sz="0" w:space="0" w:color="auto"/>
      </w:divBdr>
      <w:divsChild>
        <w:div w:id="754404628">
          <w:marLeft w:val="0"/>
          <w:marRight w:val="0"/>
          <w:marTop w:val="0"/>
          <w:marBottom w:val="0"/>
          <w:divBdr>
            <w:top w:val="none" w:sz="0" w:space="0" w:color="auto"/>
            <w:left w:val="none" w:sz="0" w:space="0" w:color="auto"/>
            <w:bottom w:val="none" w:sz="0" w:space="0" w:color="auto"/>
            <w:right w:val="none" w:sz="0" w:space="0" w:color="auto"/>
          </w:divBdr>
          <w:divsChild>
            <w:div w:id="354884387">
              <w:marLeft w:val="0"/>
              <w:marRight w:val="0"/>
              <w:marTop w:val="0"/>
              <w:marBottom w:val="0"/>
              <w:divBdr>
                <w:top w:val="none" w:sz="0" w:space="0" w:color="auto"/>
                <w:left w:val="none" w:sz="0" w:space="0" w:color="auto"/>
                <w:bottom w:val="none" w:sz="0" w:space="0" w:color="auto"/>
                <w:right w:val="none" w:sz="0" w:space="0" w:color="auto"/>
              </w:divBdr>
            </w:div>
          </w:divsChild>
        </w:div>
        <w:div w:id="1601260710">
          <w:marLeft w:val="0"/>
          <w:marRight w:val="255"/>
          <w:marTop w:val="0"/>
          <w:marBottom w:val="0"/>
          <w:divBdr>
            <w:top w:val="none" w:sz="0" w:space="0" w:color="auto"/>
            <w:left w:val="none" w:sz="0" w:space="0" w:color="auto"/>
            <w:bottom w:val="none" w:sz="0" w:space="0" w:color="auto"/>
            <w:right w:val="none" w:sz="0" w:space="0" w:color="auto"/>
          </w:divBdr>
          <w:divsChild>
            <w:div w:id="419372323">
              <w:marLeft w:val="0"/>
              <w:marRight w:val="0"/>
              <w:marTop w:val="0"/>
              <w:marBottom w:val="0"/>
              <w:divBdr>
                <w:top w:val="none" w:sz="0" w:space="0" w:color="auto"/>
                <w:left w:val="none" w:sz="0" w:space="0" w:color="auto"/>
                <w:bottom w:val="none" w:sz="0" w:space="0" w:color="auto"/>
                <w:right w:val="none" w:sz="0" w:space="0" w:color="auto"/>
              </w:divBdr>
              <w:divsChild>
                <w:div w:id="198785923">
                  <w:marLeft w:val="0"/>
                  <w:marRight w:val="0"/>
                  <w:marTop w:val="0"/>
                  <w:marBottom w:val="0"/>
                  <w:divBdr>
                    <w:top w:val="none" w:sz="0" w:space="0" w:color="auto"/>
                    <w:left w:val="none" w:sz="0" w:space="0" w:color="auto"/>
                    <w:bottom w:val="none" w:sz="0" w:space="0" w:color="auto"/>
                    <w:right w:val="none" w:sz="0" w:space="0" w:color="auto"/>
                  </w:divBdr>
                  <w:divsChild>
                    <w:div w:id="1020416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34919917">
          <w:marLeft w:val="0"/>
          <w:marRight w:val="0"/>
          <w:marTop w:val="0"/>
          <w:marBottom w:val="0"/>
          <w:divBdr>
            <w:top w:val="none" w:sz="0" w:space="0" w:color="auto"/>
            <w:left w:val="none" w:sz="0" w:space="0" w:color="auto"/>
            <w:bottom w:val="none" w:sz="0" w:space="0" w:color="auto"/>
            <w:right w:val="none" w:sz="0" w:space="0" w:color="auto"/>
          </w:divBdr>
          <w:divsChild>
            <w:div w:id="6014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19692">
      <w:bodyDiv w:val="1"/>
      <w:marLeft w:val="0"/>
      <w:marRight w:val="0"/>
      <w:marTop w:val="0"/>
      <w:marBottom w:val="0"/>
      <w:divBdr>
        <w:top w:val="none" w:sz="0" w:space="0" w:color="auto"/>
        <w:left w:val="none" w:sz="0" w:space="0" w:color="auto"/>
        <w:bottom w:val="none" w:sz="0" w:space="0" w:color="auto"/>
        <w:right w:val="none" w:sz="0" w:space="0" w:color="auto"/>
      </w:divBdr>
      <w:divsChild>
        <w:div w:id="711732416">
          <w:marLeft w:val="0"/>
          <w:marRight w:val="0"/>
          <w:marTop w:val="0"/>
          <w:marBottom w:val="300"/>
          <w:divBdr>
            <w:top w:val="none" w:sz="0" w:space="0" w:color="auto"/>
            <w:left w:val="none" w:sz="0" w:space="0" w:color="auto"/>
            <w:bottom w:val="dotted" w:sz="6" w:space="5" w:color="DDDDDD"/>
            <w:right w:val="none" w:sz="0" w:space="0" w:color="auto"/>
          </w:divBdr>
        </w:div>
        <w:div w:id="536625343">
          <w:marLeft w:val="0"/>
          <w:marRight w:val="0"/>
          <w:marTop w:val="240"/>
          <w:marBottom w:val="240"/>
          <w:divBdr>
            <w:top w:val="none" w:sz="0" w:space="0" w:color="auto"/>
            <w:left w:val="none" w:sz="0" w:space="0" w:color="auto"/>
            <w:bottom w:val="none" w:sz="0" w:space="0" w:color="auto"/>
            <w:right w:val="none" w:sz="0" w:space="0" w:color="auto"/>
          </w:divBdr>
          <w:divsChild>
            <w:div w:id="17735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87430">
      <w:bodyDiv w:val="1"/>
      <w:marLeft w:val="0"/>
      <w:marRight w:val="0"/>
      <w:marTop w:val="0"/>
      <w:marBottom w:val="0"/>
      <w:divBdr>
        <w:top w:val="none" w:sz="0" w:space="0" w:color="auto"/>
        <w:left w:val="none" w:sz="0" w:space="0" w:color="auto"/>
        <w:bottom w:val="none" w:sz="0" w:space="0" w:color="auto"/>
        <w:right w:val="none" w:sz="0" w:space="0" w:color="auto"/>
      </w:divBdr>
    </w:div>
    <w:div w:id="1942953382">
      <w:bodyDiv w:val="1"/>
      <w:marLeft w:val="0"/>
      <w:marRight w:val="0"/>
      <w:marTop w:val="0"/>
      <w:marBottom w:val="0"/>
      <w:divBdr>
        <w:top w:val="none" w:sz="0" w:space="0" w:color="auto"/>
        <w:left w:val="none" w:sz="0" w:space="0" w:color="auto"/>
        <w:bottom w:val="none" w:sz="0" w:space="0" w:color="auto"/>
        <w:right w:val="none" w:sz="0" w:space="0" w:color="auto"/>
      </w:divBdr>
    </w:div>
    <w:div w:id="2023704561">
      <w:bodyDiv w:val="1"/>
      <w:marLeft w:val="0"/>
      <w:marRight w:val="0"/>
      <w:marTop w:val="0"/>
      <w:marBottom w:val="0"/>
      <w:divBdr>
        <w:top w:val="none" w:sz="0" w:space="0" w:color="auto"/>
        <w:left w:val="none" w:sz="0" w:space="0" w:color="auto"/>
        <w:bottom w:val="none" w:sz="0" w:space="0" w:color="auto"/>
        <w:right w:val="none" w:sz="0" w:space="0" w:color="auto"/>
      </w:divBdr>
    </w:div>
    <w:div w:id="2041009428">
      <w:bodyDiv w:val="1"/>
      <w:marLeft w:val="0"/>
      <w:marRight w:val="0"/>
      <w:marTop w:val="0"/>
      <w:marBottom w:val="0"/>
      <w:divBdr>
        <w:top w:val="none" w:sz="0" w:space="0" w:color="auto"/>
        <w:left w:val="none" w:sz="0" w:space="0" w:color="auto"/>
        <w:bottom w:val="none" w:sz="0" w:space="0" w:color="auto"/>
        <w:right w:val="none" w:sz="0" w:space="0" w:color="auto"/>
      </w:divBdr>
      <w:divsChild>
        <w:div w:id="1378430290">
          <w:marLeft w:val="0"/>
          <w:marRight w:val="0"/>
          <w:marTop w:val="0"/>
          <w:marBottom w:val="0"/>
          <w:divBdr>
            <w:top w:val="none" w:sz="0" w:space="0" w:color="auto"/>
            <w:left w:val="none" w:sz="0" w:space="0" w:color="auto"/>
            <w:bottom w:val="none" w:sz="0" w:space="0" w:color="auto"/>
            <w:right w:val="none" w:sz="0" w:space="0" w:color="auto"/>
          </w:divBdr>
          <w:divsChild>
            <w:div w:id="1869371787">
              <w:marLeft w:val="0"/>
              <w:marRight w:val="0"/>
              <w:marTop w:val="0"/>
              <w:marBottom w:val="0"/>
              <w:divBdr>
                <w:top w:val="none" w:sz="0" w:space="0" w:color="auto"/>
                <w:left w:val="none" w:sz="0" w:space="0" w:color="auto"/>
                <w:bottom w:val="none" w:sz="0" w:space="0" w:color="auto"/>
                <w:right w:val="none" w:sz="0" w:space="0" w:color="auto"/>
              </w:divBdr>
            </w:div>
          </w:divsChild>
        </w:div>
        <w:div w:id="104813672">
          <w:marLeft w:val="0"/>
          <w:marRight w:val="255"/>
          <w:marTop w:val="0"/>
          <w:marBottom w:val="0"/>
          <w:divBdr>
            <w:top w:val="none" w:sz="0" w:space="0" w:color="auto"/>
            <w:left w:val="none" w:sz="0" w:space="0" w:color="auto"/>
            <w:bottom w:val="none" w:sz="0" w:space="0" w:color="auto"/>
            <w:right w:val="none" w:sz="0" w:space="0" w:color="auto"/>
          </w:divBdr>
          <w:divsChild>
            <w:div w:id="101918910">
              <w:marLeft w:val="0"/>
              <w:marRight w:val="0"/>
              <w:marTop w:val="0"/>
              <w:marBottom w:val="0"/>
              <w:divBdr>
                <w:top w:val="none" w:sz="0" w:space="0" w:color="auto"/>
                <w:left w:val="none" w:sz="0" w:space="0" w:color="auto"/>
                <w:bottom w:val="none" w:sz="0" w:space="0" w:color="auto"/>
                <w:right w:val="none" w:sz="0" w:space="0" w:color="auto"/>
              </w:divBdr>
              <w:divsChild>
                <w:div w:id="347023396">
                  <w:marLeft w:val="0"/>
                  <w:marRight w:val="0"/>
                  <w:marTop w:val="0"/>
                  <w:marBottom w:val="0"/>
                  <w:divBdr>
                    <w:top w:val="none" w:sz="0" w:space="0" w:color="auto"/>
                    <w:left w:val="none" w:sz="0" w:space="0" w:color="auto"/>
                    <w:bottom w:val="none" w:sz="0" w:space="0" w:color="auto"/>
                    <w:right w:val="none" w:sz="0" w:space="0" w:color="auto"/>
                  </w:divBdr>
                  <w:divsChild>
                    <w:div w:id="990907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93295350">
          <w:marLeft w:val="0"/>
          <w:marRight w:val="0"/>
          <w:marTop w:val="0"/>
          <w:marBottom w:val="0"/>
          <w:divBdr>
            <w:top w:val="none" w:sz="0" w:space="0" w:color="auto"/>
            <w:left w:val="none" w:sz="0" w:space="0" w:color="auto"/>
            <w:bottom w:val="none" w:sz="0" w:space="0" w:color="auto"/>
            <w:right w:val="none" w:sz="0" w:space="0" w:color="auto"/>
          </w:divBdr>
          <w:divsChild>
            <w:div w:id="10689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6655">
      <w:bodyDiv w:val="1"/>
      <w:marLeft w:val="0"/>
      <w:marRight w:val="0"/>
      <w:marTop w:val="0"/>
      <w:marBottom w:val="0"/>
      <w:divBdr>
        <w:top w:val="none" w:sz="0" w:space="0" w:color="auto"/>
        <w:left w:val="none" w:sz="0" w:space="0" w:color="auto"/>
        <w:bottom w:val="none" w:sz="0" w:space="0" w:color="auto"/>
        <w:right w:val="none" w:sz="0" w:space="0" w:color="auto"/>
      </w:divBdr>
    </w:div>
    <w:div w:id="2081370000">
      <w:bodyDiv w:val="1"/>
      <w:marLeft w:val="0"/>
      <w:marRight w:val="0"/>
      <w:marTop w:val="0"/>
      <w:marBottom w:val="0"/>
      <w:divBdr>
        <w:top w:val="none" w:sz="0" w:space="0" w:color="auto"/>
        <w:left w:val="none" w:sz="0" w:space="0" w:color="auto"/>
        <w:bottom w:val="none" w:sz="0" w:space="0" w:color="auto"/>
        <w:right w:val="none" w:sz="0" w:space="0" w:color="auto"/>
      </w:divBdr>
    </w:div>
    <w:div w:id="2086805399">
      <w:bodyDiv w:val="1"/>
      <w:marLeft w:val="0"/>
      <w:marRight w:val="0"/>
      <w:marTop w:val="0"/>
      <w:marBottom w:val="0"/>
      <w:divBdr>
        <w:top w:val="none" w:sz="0" w:space="0" w:color="auto"/>
        <w:left w:val="none" w:sz="0" w:space="0" w:color="auto"/>
        <w:bottom w:val="none" w:sz="0" w:space="0" w:color="auto"/>
        <w:right w:val="none" w:sz="0" w:space="0" w:color="auto"/>
      </w:divBdr>
    </w:div>
    <w:div w:id="2130320999">
      <w:bodyDiv w:val="1"/>
      <w:marLeft w:val="0"/>
      <w:marRight w:val="0"/>
      <w:marTop w:val="0"/>
      <w:marBottom w:val="0"/>
      <w:divBdr>
        <w:top w:val="none" w:sz="0" w:space="0" w:color="auto"/>
        <w:left w:val="none" w:sz="0" w:space="0" w:color="auto"/>
        <w:bottom w:val="none" w:sz="0" w:space="0" w:color="auto"/>
        <w:right w:val="none" w:sz="0" w:space="0" w:color="auto"/>
      </w:divBdr>
    </w:div>
    <w:div w:id="2131510797">
      <w:bodyDiv w:val="1"/>
      <w:marLeft w:val="0"/>
      <w:marRight w:val="0"/>
      <w:marTop w:val="0"/>
      <w:marBottom w:val="0"/>
      <w:divBdr>
        <w:top w:val="none" w:sz="0" w:space="0" w:color="auto"/>
        <w:left w:val="none" w:sz="0" w:space="0" w:color="auto"/>
        <w:bottom w:val="none" w:sz="0" w:space="0" w:color="auto"/>
        <w:right w:val="none" w:sz="0" w:space="0" w:color="auto"/>
      </w:divBdr>
      <w:divsChild>
        <w:div w:id="869342411">
          <w:marLeft w:val="0"/>
          <w:marRight w:val="0"/>
          <w:marTop w:val="0"/>
          <w:marBottom w:val="300"/>
          <w:divBdr>
            <w:top w:val="none" w:sz="0" w:space="0" w:color="auto"/>
            <w:left w:val="none" w:sz="0" w:space="0" w:color="auto"/>
            <w:bottom w:val="dotted" w:sz="6" w:space="5" w:color="DDDDDD"/>
            <w:right w:val="none" w:sz="0" w:space="0" w:color="auto"/>
          </w:divBdr>
        </w:div>
        <w:div w:id="2049911210">
          <w:marLeft w:val="0"/>
          <w:marRight w:val="0"/>
          <w:marTop w:val="240"/>
          <w:marBottom w:val="240"/>
          <w:divBdr>
            <w:top w:val="none" w:sz="0" w:space="0" w:color="auto"/>
            <w:left w:val="none" w:sz="0" w:space="0" w:color="auto"/>
            <w:bottom w:val="none" w:sz="0" w:space="0" w:color="auto"/>
            <w:right w:val="none" w:sz="0" w:space="0" w:color="auto"/>
          </w:divBdr>
          <w:divsChild>
            <w:div w:id="8167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ensus.gov/construction/nr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yeonhousing.org/2019/08/contrasting-built-for-rent-and-for-sale-new-single-family-hom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yeonhousing.org/2019/08/contrasting-built-for-rent-and-for-sale-new-single-family-homes/" TargetMode="External"/><Relationship Id="rId5" Type="http://schemas.openxmlformats.org/officeDocument/2006/relationships/webSettings" Target="webSettings.xml"/><Relationship Id="rId15" Type="http://schemas.openxmlformats.org/officeDocument/2006/relationships/hyperlink" Target="https://eyeonhousing.org/2019/10/homeownership-rate-bounces-back/" TargetMode="External"/><Relationship Id="rId10" Type="http://schemas.openxmlformats.org/officeDocument/2006/relationships/hyperlink" Target="https://eyeonhousing.org/2021/05/gains-for-single-family-built-for-rent-ahead/" TargetMode="External"/><Relationship Id="rId4" Type="http://schemas.openxmlformats.org/officeDocument/2006/relationships/settings" Target="settings.xml"/><Relationship Id="rId9" Type="http://schemas.openxmlformats.org/officeDocument/2006/relationships/hyperlink" Target="https://eyeonhousing.org/author/rdietz479/"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F94ED-B818-471B-AAD7-AD3C3400C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Long</dc:creator>
  <cp:keywords/>
  <dc:description/>
  <cp:lastModifiedBy>Alicia Naleid</cp:lastModifiedBy>
  <cp:revision>6</cp:revision>
  <dcterms:created xsi:type="dcterms:W3CDTF">2021-05-21T15:12:00Z</dcterms:created>
  <dcterms:modified xsi:type="dcterms:W3CDTF">2021-05-21T19:32:00Z</dcterms:modified>
</cp:coreProperties>
</file>